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84F" w:rsidRPr="00DD5319" w:rsidRDefault="006B184F" w:rsidP="00DD5319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noProof/>
        </w:rPr>
        <w:drawing>
          <wp:inline distT="0" distB="0" distL="0" distR="0" wp14:anchorId="5C4F69B1" wp14:editId="6D96965F">
            <wp:extent cx="1193470" cy="991590"/>
            <wp:effectExtent l="0" t="0" r="698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470" cy="99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84F" w:rsidRPr="001A5F40" w:rsidRDefault="00913D16" w:rsidP="00DB606B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Register Now for</w:t>
      </w:r>
    </w:p>
    <w:p w:rsidR="00743F80" w:rsidRPr="001A5F40" w:rsidRDefault="00715AB0" w:rsidP="00DB606B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743F80" w:rsidRPr="001A5F40">
        <w:rPr>
          <w:rFonts w:ascii="Times New Roman" w:eastAsia="Times New Roman" w:hAnsi="Times New Roman" w:cs="Times New Roman"/>
          <w:b/>
          <w:bCs/>
          <w:sz w:val="28"/>
          <w:szCs w:val="28"/>
        </w:rPr>
        <w:t>he Theory and Practice of Regulation</w:t>
      </w:r>
    </w:p>
    <w:bookmarkEnd w:id="0"/>
    <w:p w:rsidR="00C315CD" w:rsidRPr="001A5F40" w:rsidRDefault="00383D65" w:rsidP="00DB606B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Kicking Off</w:t>
      </w:r>
      <w:r w:rsidR="006B184F" w:rsidRPr="001A5F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43F80" w:rsidRPr="001A5F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the </w:t>
      </w:r>
      <w:r w:rsidR="00DB606B" w:rsidRPr="001A5F40">
        <w:rPr>
          <w:rFonts w:ascii="Times New Roman" w:eastAsia="Times New Roman" w:hAnsi="Times New Roman" w:cs="Times New Roman"/>
          <w:b/>
          <w:bCs/>
          <w:sz w:val="28"/>
          <w:szCs w:val="28"/>
        </w:rPr>
        <w:t>Regulatory Training Initiative</w:t>
      </w:r>
    </w:p>
    <w:p w:rsidR="00DB606B" w:rsidRPr="00C315CD" w:rsidRDefault="00DB606B" w:rsidP="00DB606B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315CD" w:rsidRPr="000D7E61" w:rsidRDefault="00743F80" w:rsidP="00C315CD">
      <w:pPr>
        <w:spacing w:after="0" w:line="240" w:lineRule="auto"/>
        <w:rPr>
          <w:rFonts w:eastAsia="Times New Roman" w:cstheme="minorHAnsi"/>
          <w:color w:val="000000"/>
        </w:rPr>
      </w:pPr>
      <w:r w:rsidRPr="000D7E61">
        <w:rPr>
          <w:rFonts w:eastAsia="Times New Roman" w:cstheme="minorHAnsi"/>
          <w:b/>
          <w:color w:val="000000"/>
        </w:rPr>
        <w:t xml:space="preserve">This </w:t>
      </w:r>
      <w:r w:rsidR="006B184F" w:rsidRPr="000D7E61">
        <w:rPr>
          <w:rFonts w:eastAsia="Times New Roman" w:cstheme="minorHAnsi"/>
          <w:b/>
          <w:color w:val="000000"/>
        </w:rPr>
        <w:t xml:space="preserve">eight part </w:t>
      </w:r>
      <w:r w:rsidRPr="000D7E61">
        <w:rPr>
          <w:rFonts w:eastAsia="Times New Roman" w:cstheme="minorHAnsi"/>
          <w:b/>
          <w:color w:val="000000"/>
        </w:rPr>
        <w:t>course</w:t>
      </w:r>
      <w:r w:rsidRPr="000D7E61">
        <w:rPr>
          <w:rFonts w:eastAsia="Times New Roman" w:cstheme="minorHAnsi"/>
          <w:color w:val="000000"/>
        </w:rPr>
        <w:t xml:space="preserve"> will provide attendees with</w:t>
      </w:r>
      <w:r w:rsidR="006B184F" w:rsidRPr="000D7E61">
        <w:rPr>
          <w:rFonts w:eastAsia="Times New Roman" w:cstheme="minorHAnsi"/>
          <w:color w:val="000000"/>
        </w:rPr>
        <w:t xml:space="preserve"> an </w:t>
      </w:r>
      <w:r w:rsidR="00715AB0">
        <w:rPr>
          <w:rFonts w:eastAsia="Times New Roman" w:cstheme="minorHAnsi"/>
          <w:color w:val="000000"/>
        </w:rPr>
        <w:t xml:space="preserve">introduction to and </w:t>
      </w:r>
      <w:r w:rsidR="006B184F" w:rsidRPr="000D7E61">
        <w:rPr>
          <w:rFonts w:eastAsia="Times New Roman" w:cstheme="minorHAnsi"/>
          <w:color w:val="000000"/>
        </w:rPr>
        <w:t>understanding of</w:t>
      </w:r>
      <w:r w:rsidRPr="000D7E61">
        <w:rPr>
          <w:rFonts w:eastAsia="Times New Roman" w:cstheme="minorHAnsi"/>
          <w:color w:val="000000"/>
        </w:rPr>
        <w:t xml:space="preserve"> the rationale and methods by which regulatory decisions are made.</w:t>
      </w:r>
      <w:r w:rsidR="00C315CD" w:rsidRPr="000D7E61">
        <w:rPr>
          <w:rFonts w:eastAsia="Times New Roman" w:cstheme="minorHAnsi"/>
          <w:color w:val="000000"/>
        </w:rPr>
        <w:t> </w:t>
      </w:r>
    </w:p>
    <w:p w:rsidR="00C315CD" w:rsidRPr="000D7E61" w:rsidRDefault="00C315CD" w:rsidP="00C315CD">
      <w:pPr>
        <w:spacing w:after="0" w:line="240" w:lineRule="auto"/>
        <w:rPr>
          <w:rFonts w:eastAsia="Times New Roman" w:cstheme="minorHAnsi"/>
          <w:b/>
          <w:color w:val="000000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5490"/>
        <w:gridCol w:w="1530"/>
      </w:tblGrid>
      <w:tr w:rsidR="00066AB4" w:rsidRPr="000D7E61" w:rsidTr="00ED751B">
        <w:tc>
          <w:tcPr>
            <w:tcW w:w="2610" w:type="dxa"/>
            <w:tcBorders>
              <w:bottom w:val="single" w:sz="4" w:space="0" w:color="auto"/>
            </w:tcBorders>
          </w:tcPr>
          <w:p w:rsidR="00066AB4" w:rsidRPr="000D7E61" w:rsidRDefault="00ED751B" w:rsidP="00ED751B">
            <w:pPr>
              <w:tabs>
                <w:tab w:val="left" w:pos="252"/>
              </w:tabs>
              <w:spacing w:after="120"/>
              <w:ind w:left="252" w:right="162" w:hanging="252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color w:val="000000"/>
              </w:rPr>
              <w:tab/>
            </w:r>
            <w:r w:rsidR="00743F80" w:rsidRPr="000D7E61">
              <w:rPr>
                <w:rFonts w:cstheme="minorHAnsi"/>
                <w:b/>
              </w:rPr>
              <w:t xml:space="preserve">Class </w:t>
            </w:r>
            <w:r w:rsidR="00066AB4" w:rsidRPr="000D7E61">
              <w:rPr>
                <w:rFonts w:cstheme="minorHAnsi"/>
                <w:b/>
              </w:rPr>
              <w:t>Title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066AB4" w:rsidRPr="000D7E61" w:rsidRDefault="00743F80" w:rsidP="00ED751B">
            <w:pPr>
              <w:spacing w:after="120"/>
              <w:rPr>
                <w:rFonts w:cstheme="minorHAnsi"/>
                <w:b/>
              </w:rPr>
            </w:pPr>
            <w:r w:rsidRPr="000D7E61">
              <w:rPr>
                <w:rFonts w:cstheme="minorHAnsi"/>
                <w:b/>
              </w:rPr>
              <w:t>Instructor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66AB4" w:rsidRPr="000D7E61" w:rsidRDefault="00066AB4" w:rsidP="00ED751B">
            <w:pPr>
              <w:spacing w:after="120"/>
              <w:ind w:left="72" w:right="-108"/>
              <w:rPr>
                <w:rFonts w:cstheme="minorHAnsi"/>
                <w:b/>
              </w:rPr>
            </w:pPr>
            <w:r w:rsidRPr="000D7E61">
              <w:rPr>
                <w:rFonts w:cstheme="minorHAnsi"/>
                <w:b/>
              </w:rPr>
              <w:t>Date</w:t>
            </w:r>
          </w:p>
        </w:tc>
      </w:tr>
      <w:tr w:rsidR="00066AB4" w:rsidRPr="000D7E61" w:rsidTr="00ED751B">
        <w:tc>
          <w:tcPr>
            <w:tcW w:w="2610" w:type="dxa"/>
            <w:tcBorders>
              <w:top w:val="single" w:sz="4" w:space="0" w:color="auto"/>
            </w:tcBorders>
          </w:tcPr>
          <w:p w:rsidR="00066AB4" w:rsidRPr="000D7E61" w:rsidRDefault="00066AB4" w:rsidP="00ED751B">
            <w:pPr>
              <w:tabs>
                <w:tab w:val="left" w:pos="252"/>
              </w:tabs>
              <w:spacing w:after="120"/>
              <w:ind w:left="252" w:right="162" w:hanging="252"/>
              <w:rPr>
                <w:rFonts w:cstheme="minorHAnsi"/>
              </w:rPr>
            </w:pPr>
            <w:r w:rsidRPr="000D7E61">
              <w:rPr>
                <w:rFonts w:cstheme="minorHAnsi"/>
                <w:color w:val="000000"/>
              </w:rPr>
              <w:t>1.</w:t>
            </w:r>
            <w:r w:rsidR="00ED751B">
              <w:rPr>
                <w:rFonts w:eastAsia="Times New Roman" w:cstheme="minorHAnsi"/>
                <w:color w:val="000000"/>
              </w:rPr>
              <w:t xml:space="preserve"> </w:t>
            </w:r>
            <w:r w:rsidR="00ED751B">
              <w:rPr>
                <w:rFonts w:eastAsia="Times New Roman" w:cstheme="minorHAnsi"/>
                <w:color w:val="000000"/>
              </w:rPr>
              <w:tab/>
            </w:r>
            <w:r w:rsidRPr="000D7E61">
              <w:rPr>
                <w:rFonts w:cstheme="minorHAnsi"/>
                <w:color w:val="000000"/>
              </w:rPr>
              <w:t>Why Regulate?</w:t>
            </w:r>
          </w:p>
        </w:tc>
        <w:tc>
          <w:tcPr>
            <w:tcW w:w="5490" w:type="dxa"/>
            <w:tcBorders>
              <w:top w:val="single" w:sz="4" w:space="0" w:color="auto"/>
            </w:tcBorders>
          </w:tcPr>
          <w:p w:rsidR="00066AB4" w:rsidRPr="000D7E61" w:rsidRDefault="00066AB4" w:rsidP="00ED751B">
            <w:pPr>
              <w:spacing w:after="120"/>
              <w:rPr>
                <w:rFonts w:cstheme="minorHAnsi"/>
              </w:rPr>
            </w:pPr>
            <w:r w:rsidRPr="000D7E61">
              <w:rPr>
                <w:rFonts w:cstheme="minorHAnsi"/>
              </w:rPr>
              <w:t>Carl Pechman, Ph.D., Director, NRRI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6B184F" w:rsidRPr="000D7E61" w:rsidRDefault="00066AB4" w:rsidP="00ED751B">
            <w:pPr>
              <w:spacing w:after="120"/>
              <w:ind w:left="72" w:right="-108"/>
              <w:rPr>
                <w:rFonts w:cstheme="minorHAnsi"/>
              </w:rPr>
            </w:pPr>
            <w:r w:rsidRPr="000D7E61">
              <w:rPr>
                <w:rFonts w:cstheme="minorHAnsi"/>
              </w:rPr>
              <w:t>September 17</w:t>
            </w:r>
          </w:p>
        </w:tc>
      </w:tr>
      <w:tr w:rsidR="00066AB4" w:rsidRPr="000D7E61" w:rsidTr="00ED751B">
        <w:tc>
          <w:tcPr>
            <w:tcW w:w="2610" w:type="dxa"/>
          </w:tcPr>
          <w:p w:rsidR="00066AB4" w:rsidRPr="000D7E61" w:rsidRDefault="00066AB4" w:rsidP="00ED751B">
            <w:pPr>
              <w:tabs>
                <w:tab w:val="left" w:pos="252"/>
              </w:tabs>
              <w:spacing w:after="120"/>
              <w:ind w:left="252" w:right="162" w:hanging="252"/>
              <w:rPr>
                <w:rFonts w:cstheme="minorHAnsi"/>
              </w:rPr>
            </w:pPr>
            <w:r w:rsidRPr="000D7E61">
              <w:rPr>
                <w:rFonts w:cstheme="minorHAnsi"/>
                <w:color w:val="000000"/>
              </w:rPr>
              <w:t>2.</w:t>
            </w:r>
            <w:r w:rsidR="00ED751B">
              <w:rPr>
                <w:rFonts w:eastAsia="Times New Roman" w:cstheme="minorHAnsi"/>
                <w:color w:val="000000"/>
              </w:rPr>
              <w:t xml:space="preserve"> </w:t>
            </w:r>
            <w:r w:rsidR="00ED751B">
              <w:rPr>
                <w:rFonts w:eastAsia="Times New Roman" w:cstheme="minorHAnsi"/>
                <w:color w:val="000000"/>
              </w:rPr>
              <w:tab/>
            </w:r>
            <w:r w:rsidR="002728F0" w:rsidRPr="000D7E61">
              <w:rPr>
                <w:rFonts w:cstheme="minorHAnsi"/>
                <w:color w:val="000000"/>
              </w:rPr>
              <w:t xml:space="preserve">Public Utility and </w:t>
            </w:r>
            <w:r w:rsidRPr="000D7E61">
              <w:rPr>
                <w:rFonts w:cstheme="minorHAnsi"/>
                <w:color w:val="000000"/>
              </w:rPr>
              <w:t>Just</w:t>
            </w:r>
            <w:r w:rsidR="002728F0" w:rsidRPr="000D7E61">
              <w:rPr>
                <w:rFonts w:cstheme="minorHAnsi"/>
                <w:color w:val="000000"/>
              </w:rPr>
              <w:t xml:space="preserve"> </w:t>
            </w:r>
            <w:r w:rsidRPr="000D7E61">
              <w:rPr>
                <w:rFonts w:cstheme="minorHAnsi"/>
                <w:color w:val="000000"/>
              </w:rPr>
              <w:t xml:space="preserve">and Reasonable </w:t>
            </w:r>
            <w:r w:rsidR="002728F0" w:rsidRPr="000D7E61">
              <w:rPr>
                <w:rFonts w:cstheme="minorHAnsi"/>
                <w:color w:val="000000"/>
              </w:rPr>
              <w:t>Rates</w:t>
            </w:r>
          </w:p>
        </w:tc>
        <w:tc>
          <w:tcPr>
            <w:tcW w:w="5490" w:type="dxa"/>
          </w:tcPr>
          <w:p w:rsidR="00066AB4" w:rsidRPr="000D7E61" w:rsidRDefault="00066AB4" w:rsidP="00ED751B">
            <w:pPr>
              <w:spacing w:after="120"/>
              <w:rPr>
                <w:rFonts w:cstheme="minorHAnsi"/>
              </w:rPr>
            </w:pPr>
            <w:r w:rsidRPr="000D7E61">
              <w:rPr>
                <w:rFonts w:cstheme="minorHAnsi"/>
              </w:rPr>
              <w:t>Prof. William Boyd, UCLA School of Law</w:t>
            </w:r>
          </w:p>
        </w:tc>
        <w:tc>
          <w:tcPr>
            <w:tcW w:w="1530" w:type="dxa"/>
          </w:tcPr>
          <w:p w:rsidR="006B184F" w:rsidRPr="000D7E61" w:rsidRDefault="00066AB4" w:rsidP="00ED751B">
            <w:pPr>
              <w:spacing w:after="120"/>
              <w:ind w:left="72" w:right="-108"/>
              <w:rPr>
                <w:rFonts w:cstheme="minorHAnsi"/>
              </w:rPr>
            </w:pPr>
            <w:r w:rsidRPr="000D7E61">
              <w:rPr>
                <w:rFonts w:cstheme="minorHAnsi"/>
              </w:rPr>
              <w:t>September 24</w:t>
            </w:r>
          </w:p>
        </w:tc>
      </w:tr>
      <w:tr w:rsidR="00066AB4" w:rsidRPr="000D7E61" w:rsidTr="00ED751B">
        <w:tc>
          <w:tcPr>
            <w:tcW w:w="2610" w:type="dxa"/>
          </w:tcPr>
          <w:p w:rsidR="00066AB4" w:rsidRPr="000D7E61" w:rsidRDefault="00066AB4" w:rsidP="00ED751B">
            <w:pPr>
              <w:tabs>
                <w:tab w:val="left" w:pos="252"/>
              </w:tabs>
              <w:spacing w:after="120"/>
              <w:ind w:left="252" w:right="162" w:hanging="252"/>
              <w:rPr>
                <w:rFonts w:cstheme="minorHAnsi"/>
              </w:rPr>
            </w:pPr>
            <w:r w:rsidRPr="000D7E61">
              <w:rPr>
                <w:rFonts w:cstheme="minorHAnsi"/>
                <w:color w:val="000000"/>
              </w:rPr>
              <w:t>3.</w:t>
            </w:r>
            <w:r w:rsidR="00ED751B">
              <w:rPr>
                <w:rFonts w:eastAsia="Times New Roman" w:cstheme="minorHAnsi"/>
                <w:color w:val="000000"/>
              </w:rPr>
              <w:t xml:space="preserve"> </w:t>
            </w:r>
            <w:r w:rsidR="00ED751B">
              <w:rPr>
                <w:rFonts w:eastAsia="Times New Roman" w:cstheme="minorHAnsi"/>
                <w:color w:val="000000"/>
              </w:rPr>
              <w:tab/>
            </w:r>
            <w:r w:rsidRPr="000D7E61">
              <w:rPr>
                <w:rFonts w:cstheme="minorHAnsi"/>
                <w:color w:val="000000"/>
              </w:rPr>
              <w:t>Products of Regulation</w:t>
            </w:r>
          </w:p>
        </w:tc>
        <w:tc>
          <w:tcPr>
            <w:tcW w:w="5490" w:type="dxa"/>
          </w:tcPr>
          <w:p w:rsidR="006B184F" w:rsidRPr="000D7E61" w:rsidRDefault="00066AB4" w:rsidP="00ED751B">
            <w:pPr>
              <w:spacing w:after="120"/>
              <w:rPr>
                <w:rFonts w:cstheme="minorHAnsi"/>
              </w:rPr>
            </w:pPr>
            <w:r w:rsidRPr="000D7E61">
              <w:rPr>
                <w:rFonts w:cstheme="minorHAnsi"/>
              </w:rPr>
              <w:t>Hon. Willie Phillips, Chair, Public Service Commission of the District of Columbia</w:t>
            </w:r>
          </w:p>
        </w:tc>
        <w:tc>
          <w:tcPr>
            <w:tcW w:w="1530" w:type="dxa"/>
          </w:tcPr>
          <w:p w:rsidR="00066AB4" w:rsidRPr="000D7E61" w:rsidRDefault="00066AB4" w:rsidP="00ED751B">
            <w:pPr>
              <w:spacing w:after="120"/>
              <w:ind w:left="72" w:right="-108"/>
              <w:rPr>
                <w:rFonts w:cstheme="minorHAnsi"/>
              </w:rPr>
            </w:pPr>
            <w:r w:rsidRPr="000D7E61">
              <w:rPr>
                <w:rFonts w:cstheme="minorHAnsi"/>
              </w:rPr>
              <w:t>October 1</w:t>
            </w:r>
          </w:p>
        </w:tc>
      </w:tr>
      <w:tr w:rsidR="00066AB4" w:rsidRPr="000D7E61" w:rsidTr="00ED751B">
        <w:tc>
          <w:tcPr>
            <w:tcW w:w="2610" w:type="dxa"/>
          </w:tcPr>
          <w:p w:rsidR="00066AB4" w:rsidRPr="000D7E61" w:rsidRDefault="00066AB4" w:rsidP="00ED751B">
            <w:pPr>
              <w:tabs>
                <w:tab w:val="left" w:pos="252"/>
              </w:tabs>
              <w:spacing w:after="120"/>
              <w:ind w:left="252" w:right="162" w:hanging="252"/>
              <w:rPr>
                <w:rFonts w:cstheme="minorHAnsi"/>
              </w:rPr>
            </w:pPr>
            <w:r w:rsidRPr="000D7E61">
              <w:rPr>
                <w:rFonts w:cstheme="minorHAnsi"/>
                <w:color w:val="000000"/>
              </w:rPr>
              <w:t>4.</w:t>
            </w:r>
            <w:r w:rsidR="00ED751B">
              <w:rPr>
                <w:rFonts w:eastAsia="Times New Roman" w:cstheme="minorHAnsi"/>
                <w:color w:val="000000"/>
              </w:rPr>
              <w:t xml:space="preserve"> </w:t>
            </w:r>
            <w:r w:rsidR="00ED751B">
              <w:rPr>
                <w:rFonts w:eastAsia="Times New Roman" w:cstheme="minorHAnsi"/>
                <w:color w:val="000000"/>
              </w:rPr>
              <w:tab/>
            </w:r>
            <w:r w:rsidRPr="000D7E61">
              <w:rPr>
                <w:rFonts w:cstheme="minorHAnsi"/>
                <w:color w:val="000000"/>
              </w:rPr>
              <w:t>Process of Regulation</w:t>
            </w:r>
          </w:p>
        </w:tc>
        <w:tc>
          <w:tcPr>
            <w:tcW w:w="5490" w:type="dxa"/>
          </w:tcPr>
          <w:p w:rsidR="006B184F" w:rsidRPr="000D7E61" w:rsidRDefault="00066AB4" w:rsidP="00ED751B">
            <w:pPr>
              <w:spacing w:after="120"/>
              <w:rPr>
                <w:rFonts w:cstheme="minorHAnsi"/>
              </w:rPr>
            </w:pPr>
            <w:r w:rsidRPr="000D7E61">
              <w:rPr>
                <w:rFonts w:cstheme="minorHAnsi"/>
              </w:rPr>
              <w:t>Hon. Diane Munns, former Commissioner Iowa Utilities Board</w:t>
            </w:r>
          </w:p>
        </w:tc>
        <w:tc>
          <w:tcPr>
            <w:tcW w:w="1530" w:type="dxa"/>
          </w:tcPr>
          <w:p w:rsidR="00066AB4" w:rsidRPr="000D7E61" w:rsidRDefault="00066AB4" w:rsidP="00ED751B">
            <w:pPr>
              <w:spacing w:after="120"/>
              <w:ind w:left="72" w:right="-108"/>
              <w:rPr>
                <w:rFonts w:cstheme="minorHAnsi"/>
              </w:rPr>
            </w:pPr>
            <w:r w:rsidRPr="000D7E61">
              <w:rPr>
                <w:rFonts w:cstheme="minorHAnsi"/>
              </w:rPr>
              <w:t>October 8</w:t>
            </w:r>
          </w:p>
        </w:tc>
      </w:tr>
      <w:tr w:rsidR="00066AB4" w:rsidRPr="000D7E61" w:rsidTr="00ED751B">
        <w:tc>
          <w:tcPr>
            <w:tcW w:w="2610" w:type="dxa"/>
          </w:tcPr>
          <w:p w:rsidR="00066AB4" w:rsidRPr="000D7E61" w:rsidRDefault="00066AB4" w:rsidP="00ED751B">
            <w:pPr>
              <w:tabs>
                <w:tab w:val="left" w:pos="252"/>
              </w:tabs>
              <w:spacing w:after="120"/>
              <w:ind w:left="252" w:right="162" w:hanging="252"/>
              <w:rPr>
                <w:rFonts w:cstheme="minorHAnsi"/>
              </w:rPr>
            </w:pPr>
            <w:r w:rsidRPr="000D7E61">
              <w:rPr>
                <w:rFonts w:cstheme="minorHAnsi"/>
                <w:color w:val="000000"/>
              </w:rPr>
              <w:t>5.</w:t>
            </w:r>
            <w:r w:rsidR="00ED751B">
              <w:rPr>
                <w:rFonts w:eastAsia="Times New Roman" w:cstheme="minorHAnsi"/>
                <w:color w:val="000000"/>
              </w:rPr>
              <w:t xml:space="preserve"> </w:t>
            </w:r>
            <w:r w:rsidR="00ED751B">
              <w:rPr>
                <w:rFonts w:eastAsia="Times New Roman" w:cstheme="minorHAnsi"/>
                <w:color w:val="000000"/>
              </w:rPr>
              <w:tab/>
            </w:r>
            <w:r w:rsidRPr="000D7E61">
              <w:rPr>
                <w:rFonts w:cstheme="minorHAnsi"/>
                <w:color w:val="000000"/>
              </w:rPr>
              <w:t xml:space="preserve">Jurisdictional Issues of </w:t>
            </w:r>
            <w:r w:rsidR="002728F0" w:rsidRPr="000D7E61">
              <w:rPr>
                <w:rFonts w:cstheme="minorHAnsi"/>
                <w:color w:val="000000"/>
              </w:rPr>
              <w:t>R</w:t>
            </w:r>
            <w:r w:rsidRPr="000D7E61">
              <w:rPr>
                <w:rFonts w:cstheme="minorHAnsi"/>
                <w:color w:val="000000"/>
              </w:rPr>
              <w:t>egulation</w:t>
            </w:r>
          </w:p>
        </w:tc>
        <w:tc>
          <w:tcPr>
            <w:tcW w:w="5490" w:type="dxa"/>
          </w:tcPr>
          <w:p w:rsidR="006B184F" w:rsidRPr="000D7E61" w:rsidRDefault="00066AB4" w:rsidP="00ED751B">
            <w:pPr>
              <w:spacing w:after="120"/>
              <w:rPr>
                <w:rFonts w:cstheme="minorHAnsi"/>
              </w:rPr>
            </w:pPr>
            <w:r w:rsidRPr="000D7E61">
              <w:rPr>
                <w:rFonts w:cstheme="minorHAnsi"/>
              </w:rPr>
              <w:t>Hon. Suedeen Kelly, former FERC Commissioner and former Chair of the New Mexico Public Service Commission</w:t>
            </w:r>
          </w:p>
        </w:tc>
        <w:tc>
          <w:tcPr>
            <w:tcW w:w="1530" w:type="dxa"/>
          </w:tcPr>
          <w:p w:rsidR="00066AB4" w:rsidRPr="000D7E61" w:rsidRDefault="00066AB4" w:rsidP="00ED751B">
            <w:pPr>
              <w:spacing w:after="120"/>
              <w:ind w:left="72" w:right="-108"/>
              <w:rPr>
                <w:rFonts w:cstheme="minorHAnsi"/>
              </w:rPr>
            </w:pPr>
            <w:r w:rsidRPr="000D7E61">
              <w:rPr>
                <w:rFonts w:cstheme="minorHAnsi"/>
              </w:rPr>
              <w:t>October 15</w:t>
            </w:r>
          </w:p>
        </w:tc>
      </w:tr>
      <w:tr w:rsidR="00066AB4" w:rsidRPr="000D7E61" w:rsidTr="00ED751B">
        <w:tc>
          <w:tcPr>
            <w:tcW w:w="2610" w:type="dxa"/>
          </w:tcPr>
          <w:p w:rsidR="00066AB4" w:rsidRPr="000D7E61" w:rsidRDefault="00066AB4" w:rsidP="00ED751B">
            <w:pPr>
              <w:tabs>
                <w:tab w:val="left" w:pos="252"/>
              </w:tabs>
              <w:spacing w:after="120"/>
              <w:ind w:left="252" w:right="162" w:hanging="252"/>
              <w:rPr>
                <w:rFonts w:cstheme="minorHAnsi"/>
              </w:rPr>
            </w:pPr>
            <w:r w:rsidRPr="000D7E61">
              <w:rPr>
                <w:rFonts w:cstheme="minorHAnsi"/>
                <w:color w:val="000000"/>
              </w:rPr>
              <w:t>6.</w:t>
            </w:r>
            <w:r w:rsidR="00ED751B">
              <w:rPr>
                <w:rFonts w:eastAsia="Times New Roman" w:cstheme="minorHAnsi"/>
                <w:color w:val="000000"/>
              </w:rPr>
              <w:t xml:space="preserve"> </w:t>
            </w:r>
            <w:r w:rsidR="00ED751B">
              <w:rPr>
                <w:rFonts w:eastAsia="Times New Roman" w:cstheme="minorHAnsi"/>
                <w:color w:val="000000"/>
              </w:rPr>
              <w:tab/>
            </w:r>
            <w:r w:rsidRPr="000D7E61">
              <w:rPr>
                <w:rFonts w:cstheme="minorHAnsi"/>
                <w:color w:val="000000"/>
              </w:rPr>
              <w:t>Utility Business Models</w:t>
            </w:r>
          </w:p>
        </w:tc>
        <w:tc>
          <w:tcPr>
            <w:tcW w:w="5490" w:type="dxa"/>
          </w:tcPr>
          <w:p w:rsidR="006B184F" w:rsidRPr="000D7E61" w:rsidRDefault="00066AB4" w:rsidP="00ED751B">
            <w:pPr>
              <w:spacing w:after="120"/>
              <w:rPr>
                <w:rFonts w:cstheme="minorHAnsi"/>
              </w:rPr>
            </w:pPr>
            <w:r w:rsidRPr="000D7E61">
              <w:rPr>
                <w:rFonts w:cstheme="minorHAnsi"/>
              </w:rPr>
              <w:t>Peter Fox-Penner, Ph.D., Founder and Director of the Boston University Institute for Sustainable Energy</w:t>
            </w:r>
          </w:p>
        </w:tc>
        <w:tc>
          <w:tcPr>
            <w:tcW w:w="1530" w:type="dxa"/>
          </w:tcPr>
          <w:p w:rsidR="00066AB4" w:rsidRPr="000D7E61" w:rsidRDefault="00066AB4" w:rsidP="00ED751B">
            <w:pPr>
              <w:spacing w:after="120"/>
              <w:ind w:left="72" w:right="-108"/>
              <w:rPr>
                <w:rFonts w:cstheme="minorHAnsi"/>
              </w:rPr>
            </w:pPr>
            <w:r w:rsidRPr="000D7E61">
              <w:rPr>
                <w:rFonts w:cstheme="minorHAnsi"/>
              </w:rPr>
              <w:t>October 22</w:t>
            </w:r>
          </w:p>
        </w:tc>
      </w:tr>
      <w:tr w:rsidR="00066AB4" w:rsidRPr="000D7E61" w:rsidTr="00ED751B">
        <w:tc>
          <w:tcPr>
            <w:tcW w:w="2610" w:type="dxa"/>
          </w:tcPr>
          <w:p w:rsidR="00066AB4" w:rsidRPr="000D7E61" w:rsidRDefault="00066AB4" w:rsidP="00ED751B">
            <w:pPr>
              <w:tabs>
                <w:tab w:val="left" w:pos="252"/>
              </w:tabs>
              <w:spacing w:after="120"/>
              <w:ind w:left="252" w:right="162" w:hanging="252"/>
              <w:rPr>
                <w:rFonts w:cstheme="minorHAnsi"/>
              </w:rPr>
            </w:pPr>
            <w:r w:rsidRPr="000D7E61">
              <w:rPr>
                <w:rFonts w:cstheme="minorHAnsi"/>
                <w:color w:val="000000"/>
              </w:rPr>
              <w:t>7.</w:t>
            </w:r>
            <w:r w:rsidR="00ED751B">
              <w:rPr>
                <w:rFonts w:eastAsia="Times New Roman" w:cstheme="minorHAnsi"/>
                <w:color w:val="000000"/>
              </w:rPr>
              <w:t xml:space="preserve"> </w:t>
            </w:r>
            <w:r w:rsidR="00ED751B">
              <w:rPr>
                <w:rFonts w:eastAsia="Times New Roman" w:cstheme="minorHAnsi"/>
                <w:color w:val="000000"/>
              </w:rPr>
              <w:tab/>
            </w:r>
            <w:r w:rsidRPr="000D7E61">
              <w:rPr>
                <w:rFonts w:cstheme="minorHAnsi"/>
                <w:color w:val="000000"/>
              </w:rPr>
              <w:t>The Coming Utility Transition</w:t>
            </w:r>
          </w:p>
        </w:tc>
        <w:tc>
          <w:tcPr>
            <w:tcW w:w="5490" w:type="dxa"/>
          </w:tcPr>
          <w:p w:rsidR="006B184F" w:rsidRPr="000D7E61" w:rsidRDefault="00066AB4" w:rsidP="00ED751B">
            <w:pPr>
              <w:spacing w:after="120"/>
              <w:rPr>
                <w:rFonts w:cstheme="minorHAnsi"/>
              </w:rPr>
            </w:pPr>
            <w:r w:rsidRPr="000D7E61">
              <w:rPr>
                <w:rFonts w:cstheme="minorHAnsi"/>
              </w:rPr>
              <w:t xml:space="preserve">Hon. Susan Tierney, Ph.D., </w:t>
            </w:r>
            <w:r w:rsidR="00083F1E" w:rsidRPr="000D7E61">
              <w:rPr>
                <w:rFonts w:cstheme="minorHAnsi"/>
              </w:rPr>
              <w:t>Senior Advisor, The Analysis Group</w:t>
            </w:r>
          </w:p>
        </w:tc>
        <w:tc>
          <w:tcPr>
            <w:tcW w:w="1530" w:type="dxa"/>
          </w:tcPr>
          <w:p w:rsidR="00066AB4" w:rsidRPr="000D7E61" w:rsidRDefault="00066AB4" w:rsidP="00ED751B">
            <w:pPr>
              <w:spacing w:after="120"/>
              <w:ind w:left="72" w:right="-108"/>
              <w:rPr>
                <w:rFonts w:cstheme="minorHAnsi"/>
              </w:rPr>
            </w:pPr>
            <w:r w:rsidRPr="000D7E61">
              <w:rPr>
                <w:rFonts w:cstheme="minorHAnsi"/>
              </w:rPr>
              <w:t>October 29</w:t>
            </w:r>
          </w:p>
        </w:tc>
      </w:tr>
      <w:tr w:rsidR="00066AB4" w:rsidRPr="000D7E61" w:rsidTr="00ED751B">
        <w:tc>
          <w:tcPr>
            <w:tcW w:w="2610" w:type="dxa"/>
          </w:tcPr>
          <w:p w:rsidR="00066AB4" w:rsidRPr="000D7E61" w:rsidRDefault="00066AB4" w:rsidP="00ED751B">
            <w:pPr>
              <w:tabs>
                <w:tab w:val="left" w:pos="252"/>
              </w:tabs>
              <w:spacing w:after="120"/>
              <w:ind w:left="252" w:right="162" w:hanging="252"/>
              <w:rPr>
                <w:rFonts w:cstheme="minorHAnsi"/>
                <w:color w:val="000000"/>
              </w:rPr>
            </w:pPr>
            <w:r w:rsidRPr="000D7E61">
              <w:rPr>
                <w:rFonts w:cstheme="minorHAnsi"/>
                <w:color w:val="000000"/>
              </w:rPr>
              <w:t>8.</w:t>
            </w:r>
            <w:r w:rsidR="00ED751B">
              <w:rPr>
                <w:rFonts w:eastAsia="Times New Roman" w:cstheme="minorHAnsi"/>
                <w:color w:val="000000"/>
              </w:rPr>
              <w:t xml:space="preserve"> </w:t>
            </w:r>
            <w:r w:rsidR="00ED751B">
              <w:rPr>
                <w:rFonts w:eastAsia="Times New Roman" w:cstheme="minorHAnsi"/>
                <w:color w:val="000000"/>
              </w:rPr>
              <w:tab/>
            </w:r>
            <w:r w:rsidR="00C022C4" w:rsidRPr="000D7E61">
              <w:rPr>
                <w:rFonts w:cstheme="minorHAnsi"/>
                <w:color w:val="000000"/>
              </w:rPr>
              <w:t>What it's l</w:t>
            </w:r>
            <w:r w:rsidRPr="000D7E61">
              <w:rPr>
                <w:rFonts w:cstheme="minorHAnsi"/>
                <w:color w:val="000000"/>
              </w:rPr>
              <w:t>ike to be a Regulator</w:t>
            </w:r>
          </w:p>
        </w:tc>
        <w:tc>
          <w:tcPr>
            <w:tcW w:w="5490" w:type="dxa"/>
          </w:tcPr>
          <w:p w:rsidR="00DD5319" w:rsidRPr="000D7E61" w:rsidRDefault="00066AB4" w:rsidP="00ED751B">
            <w:pPr>
              <w:spacing w:after="120"/>
              <w:rPr>
                <w:rFonts w:cstheme="minorHAnsi"/>
              </w:rPr>
            </w:pPr>
            <w:r w:rsidRPr="000D7E61">
              <w:rPr>
                <w:rFonts w:cstheme="minorHAnsi"/>
                <w:color w:val="000000"/>
              </w:rPr>
              <w:t xml:space="preserve">Hon. Susan Tierney, </w:t>
            </w:r>
            <w:r w:rsidR="00C022C4" w:rsidRPr="000D7E61">
              <w:rPr>
                <w:rFonts w:cstheme="minorHAnsi"/>
                <w:color w:val="000000"/>
              </w:rPr>
              <w:t xml:space="preserve">Hon. David Danner, </w:t>
            </w:r>
            <w:r w:rsidR="00DD5319" w:rsidRPr="000D7E61">
              <w:rPr>
                <w:rFonts w:cstheme="minorHAnsi"/>
                <w:color w:val="000000"/>
              </w:rPr>
              <w:t>WUTC</w:t>
            </w:r>
            <w:r w:rsidR="004F56C1" w:rsidRPr="000D7E61">
              <w:rPr>
                <w:rFonts w:cstheme="minorHAnsi"/>
                <w:color w:val="000000"/>
              </w:rPr>
              <w:t>,</w:t>
            </w:r>
            <w:r w:rsidR="00C022C4" w:rsidRPr="000D7E61">
              <w:rPr>
                <w:rFonts w:cstheme="minorHAnsi"/>
                <w:color w:val="000000"/>
              </w:rPr>
              <w:t xml:space="preserve"> Hon. Diane Munns, Carl Pechman</w:t>
            </w:r>
          </w:p>
        </w:tc>
        <w:tc>
          <w:tcPr>
            <w:tcW w:w="1530" w:type="dxa"/>
          </w:tcPr>
          <w:p w:rsidR="00066AB4" w:rsidRPr="000D7E61" w:rsidRDefault="00066AB4" w:rsidP="00F5296F">
            <w:pPr>
              <w:spacing w:after="120"/>
              <w:ind w:left="72" w:right="-108"/>
              <w:rPr>
                <w:rFonts w:cstheme="minorHAnsi"/>
              </w:rPr>
            </w:pPr>
            <w:r w:rsidRPr="000D7E61">
              <w:rPr>
                <w:rFonts w:cstheme="minorHAnsi"/>
              </w:rPr>
              <w:t xml:space="preserve">November </w:t>
            </w:r>
            <w:r w:rsidR="00F5296F">
              <w:rPr>
                <w:rFonts w:cstheme="minorHAnsi"/>
              </w:rPr>
              <w:t>5</w:t>
            </w:r>
          </w:p>
        </w:tc>
      </w:tr>
    </w:tbl>
    <w:p w:rsidR="00ED751B" w:rsidRDefault="00ED751B" w:rsidP="00743F80">
      <w:pPr>
        <w:spacing w:after="0" w:line="240" w:lineRule="auto"/>
        <w:rPr>
          <w:rFonts w:eastAsia="Times New Roman" w:cstheme="minorHAnsi"/>
          <w:b/>
          <w:color w:val="000000"/>
        </w:rPr>
      </w:pPr>
    </w:p>
    <w:p w:rsidR="00671EAB" w:rsidRDefault="00743F80" w:rsidP="00743F80">
      <w:pPr>
        <w:spacing w:after="0" w:line="240" w:lineRule="auto"/>
        <w:rPr>
          <w:rFonts w:eastAsia="Times New Roman" w:cstheme="minorHAnsi"/>
          <w:color w:val="000000"/>
        </w:rPr>
      </w:pPr>
      <w:r w:rsidRPr="000D7E61">
        <w:rPr>
          <w:rFonts w:eastAsia="Times New Roman" w:cstheme="minorHAnsi"/>
          <w:b/>
          <w:color w:val="000000"/>
        </w:rPr>
        <w:t>NRRI's Regulatory Training Initiative (RTI)</w:t>
      </w:r>
      <w:r w:rsidRPr="000D7E61">
        <w:rPr>
          <w:rFonts w:eastAsia="Times New Roman" w:cstheme="minorHAnsi"/>
          <w:color w:val="000000"/>
        </w:rPr>
        <w:t xml:space="preserve"> provides comprehensive training to the regulatory community</w:t>
      </w:r>
      <w:r w:rsidR="006B184F" w:rsidRPr="000D7E61">
        <w:rPr>
          <w:rFonts w:eastAsia="Times New Roman" w:cstheme="minorHAnsi"/>
          <w:color w:val="000000"/>
        </w:rPr>
        <w:t>.</w:t>
      </w:r>
      <w:r w:rsidRPr="000D7E61">
        <w:rPr>
          <w:rFonts w:eastAsia="Times New Roman" w:cstheme="minorHAnsi"/>
          <w:color w:val="000000"/>
        </w:rPr>
        <w:t xml:space="preserve"> The curriculum will expand to include more detailed topics in regulation</w:t>
      </w:r>
      <w:r w:rsidR="00DD5319" w:rsidRPr="000D7E61">
        <w:rPr>
          <w:rFonts w:eastAsia="Times New Roman" w:cstheme="minorHAnsi"/>
          <w:color w:val="000000"/>
        </w:rPr>
        <w:t>,</w:t>
      </w:r>
      <w:r w:rsidRPr="000D7E61">
        <w:rPr>
          <w:rFonts w:eastAsia="Times New Roman" w:cstheme="minorHAnsi"/>
          <w:color w:val="000000"/>
        </w:rPr>
        <w:t xml:space="preserve"> such as accounting</w:t>
      </w:r>
      <w:r w:rsidR="00226B83" w:rsidRPr="000D7E61">
        <w:rPr>
          <w:rFonts w:eastAsia="Times New Roman" w:cstheme="minorHAnsi"/>
          <w:color w:val="000000"/>
        </w:rPr>
        <w:t>,</w:t>
      </w:r>
      <w:r w:rsidRPr="000D7E61">
        <w:rPr>
          <w:rFonts w:eastAsia="Times New Roman" w:cstheme="minorHAnsi"/>
          <w:color w:val="000000"/>
        </w:rPr>
        <w:t xml:space="preserve"> finance</w:t>
      </w:r>
      <w:r w:rsidR="00DD5319" w:rsidRPr="000D7E61">
        <w:rPr>
          <w:rFonts w:eastAsia="Times New Roman" w:cstheme="minorHAnsi"/>
          <w:color w:val="000000"/>
        </w:rPr>
        <w:t xml:space="preserve">, </w:t>
      </w:r>
      <w:r w:rsidR="00226B83" w:rsidRPr="000D7E61">
        <w:rPr>
          <w:rFonts w:eastAsia="Times New Roman" w:cstheme="minorHAnsi"/>
          <w:color w:val="000000"/>
        </w:rPr>
        <w:t xml:space="preserve">and </w:t>
      </w:r>
      <w:r w:rsidRPr="000D7E61">
        <w:rPr>
          <w:rFonts w:eastAsia="Times New Roman" w:cstheme="minorHAnsi"/>
          <w:color w:val="000000"/>
        </w:rPr>
        <w:t xml:space="preserve">rate design, </w:t>
      </w:r>
      <w:r w:rsidR="00DD5319" w:rsidRPr="000D7E61">
        <w:rPr>
          <w:rFonts w:eastAsia="Times New Roman" w:cstheme="minorHAnsi"/>
          <w:color w:val="000000"/>
        </w:rPr>
        <w:t xml:space="preserve">as well as training in </w:t>
      </w:r>
      <w:r w:rsidRPr="000D7E61">
        <w:rPr>
          <w:rFonts w:eastAsia="Times New Roman" w:cstheme="minorHAnsi"/>
          <w:color w:val="000000"/>
        </w:rPr>
        <w:t>emerging issues and policies</w:t>
      </w:r>
      <w:r w:rsidR="00DD5319" w:rsidRPr="000D7E61">
        <w:rPr>
          <w:rFonts w:eastAsia="Times New Roman" w:cstheme="minorHAnsi"/>
          <w:color w:val="000000"/>
        </w:rPr>
        <w:t xml:space="preserve"> </w:t>
      </w:r>
      <w:r w:rsidR="00226B83" w:rsidRPr="000D7E61">
        <w:rPr>
          <w:rFonts w:eastAsia="Times New Roman" w:cstheme="minorHAnsi"/>
          <w:color w:val="000000"/>
        </w:rPr>
        <w:t xml:space="preserve">including </w:t>
      </w:r>
      <w:r w:rsidRPr="000D7E61">
        <w:rPr>
          <w:rFonts w:eastAsia="Times New Roman" w:cstheme="minorHAnsi"/>
          <w:color w:val="000000"/>
        </w:rPr>
        <w:t xml:space="preserve">new methods </w:t>
      </w:r>
      <w:r w:rsidR="00226B83" w:rsidRPr="000D7E61">
        <w:rPr>
          <w:rFonts w:eastAsia="Times New Roman" w:cstheme="minorHAnsi"/>
          <w:color w:val="000000"/>
        </w:rPr>
        <w:t>for</w:t>
      </w:r>
      <w:r w:rsidRPr="000D7E61">
        <w:rPr>
          <w:rFonts w:eastAsia="Times New Roman" w:cstheme="minorHAnsi"/>
          <w:color w:val="000000"/>
        </w:rPr>
        <w:t xml:space="preserve"> evaluating </w:t>
      </w:r>
      <w:r w:rsidR="00671EAB" w:rsidRPr="000D7E61">
        <w:rPr>
          <w:rFonts w:eastAsia="Times New Roman" w:cstheme="minorHAnsi"/>
          <w:color w:val="000000"/>
        </w:rPr>
        <w:t xml:space="preserve">energy efficiency programs and alternative methods </w:t>
      </w:r>
      <w:r w:rsidR="00DD5319" w:rsidRPr="000D7E61">
        <w:rPr>
          <w:rFonts w:eastAsia="Times New Roman" w:cstheme="minorHAnsi"/>
          <w:color w:val="000000"/>
        </w:rPr>
        <w:t>for</w:t>
      </w:r>
      <w:r w:rsidR="00671EAB" w:rsidRPr="000D7E61">
        <w:rPr>
          <w:rFonts w:eastAsia="Times New Roman" w:cstheme="minorHAnsi"/>
          <w:color w:val="000000"/>
        </w:rPr>
        <w:t xml:space="preserve"> pricing distributed energy</w:t>
      </w:r>
      <w:r w:rsidRPr="000D7E61">
        <w:rPr>
          <w:rFonts w:eastAsia="Times New Roman" w:cstheme="minorHAnsi"/>
          <w:color w:val="000000"/>
        </w:rPr>
        <w:t>.</w:t>
      </w:r>
    </w:p>
    <w:p w:rsidR="00ED751B" w:rsidRPr="000D7E61" w:rsidRDefault="00ED751B" w:rsidP="00743F80">
      <w:pPr>
        <w:spacing w:after="0" w:line="240" w:lineRule="auto"/>
        <w:rPr>
          <w:rFonts w:eastAsia="Times New Roman" w:cstheme="minorHAnsi"/>
          <w:color w:val="000000"/>
        </w:rPr>
      </w:pPr>
    </w:p>
    <w:p w:rsidR="00383D65" w:rsidRPr="00094364" w:rsidRDefault="00DD5319" w:rsidP="00383D65">
      <w:pPr>
        <w:spacing w:after="0" w:line="240" w:lineRule="auto"/>
        <w:rPr>
          <w:rStyle w:val="Strong"/>
          <w:rFonts w:eastAsia="Times New Roman" w:cstheme="minorHAnsi"/>
        </w:rPr>
      </w:pPr>
      <w:r w:rsidRPr="000D7E61">
        <w:rPr>
          <w:rFonts w:eastAsia="Times New Roman" w:cstheme="minorHAnsi"/>
          <w:b/>
          <w:color w:val="000000"/>
        </w:rPr>
        <w:t xml:space="preserve">REGISTRATION: </w:t>
      </w:r>
      <w:r w:rsidR="00671EAB" w:rsidRPr="000D7E61">
        <w:rPr>
          <w:rFonts w:eastAsia="Times New Roman" w:cstheme="minorHAnsi"/>
          <w:color w:val="000000"/>
        </w:rPr>
        <w:t xml:space="preserve">The initial course is open to all members of the regulatory </w:t>
      </w:r>
      <w:r w:rsidRPr="000D7E61">
        <w:rPr>
          <w:rFonts w:eastAsia="Times New Roman" w:cstheme="minorHAnsi"/>
          <w:color w:val="000000"/>
        </w:rPr>
        <w:t>community at no charge.  All classes will be offered from 3:00 to 4:00 PM Eastern.</w:t>
      </w:r>
      <w:r w:rsidR="00383D65" w:rsidRPr="000D7E61">
        <w:rPr>
          <w:rStyle w:val="Strong"/>
          <w:rFonts w:eastAsia="Times New Roman" w:cstheme="minorHAnsi"/>
          <w:color w:val="007C89"/>
          <w:u w:val="single"/>
        </w:rPr>
        <w:t xml:space="preserve"> </w:t>
      </w:r>
      <w:r w:rsidR="00913D16">
        <w:rPr>
          <w:rStyle w:val="Strong"/>
          <w:rFonts w:eastAsia="Times New Roman" w:cstheme="minorHAnsi"/>
          <w:b w:val="0"/>
          <w:color w:val="007C89"/>
        </w:rPr>
        <w:t xml:space="preserve"> </w:t>
      </w:r>
      <w:r w:rsidR="00913D16" w:rsidRPr="00094364">
        <w:rPr>
          <w:rStyle w:val="Strong"/>
          <w:rFonts w:eastAsia="Times New Roman" w:cstheme="minorHAnsi"/>
        </w:rPr>
        <w:t>Your registration will give you access to all the classes in this course.  You will receive log in information for each class prior to the start date.</w:t>
      </w:r>
      <w:r w:rsidR="00F547CE" w:rsidRPr="00094364">
        <w:rPr>
          <w:rStyle w:val="Strong"/>
          <w:rFonts w:eastAsia="Times New Roman" w:cstheme="minorHAnsi"/>
        </w:rPr>
        <w:t xml:space="preserve"> </w:t>
      </w:r>
    </w:p>
    <w:p w:rsidR="00F144D0" w:rsidRPr="00094364" w:rsidRDefault="00F144D0" w:rsidP="00383D65">
      <w:pPr>
        <w:spacing w:after="0" w:line="240" w:lineRule="auto"/>
        <w:rPr>
          <w:rStyle w:val="Strong"/>
          <w:rFonts w:eastAsia="Times New Roman" w:cstheme="minorHAnsi"/>
          <w:u w:val="single"/>
        </w:rPr>
      </w:pPr>
    </w:p>
    <w:p w:rsidR="00383D65" w:rsidRPr="00F144D0" w:rsidRDefault="00C075AE" w:rsidP="00383D65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hyperlink r:id="rId8" w:tgtFrame="_blank" w:history="1">
        <w:r w:rsidR="00383D65" w:rsidRPr="00F144D0">
          <w:rPr>
            <w:rStyle w:val="Strong"/>
            <w:rFonts w:eastAsia="Times New Roman" w:cstheme="minorHAnsi"/>
            <w:color w:val="007C89"/>
            <w:sz w:val="28"/>
            <w:szCs w:val="28"/>
            <w:u w:val="single"/>
          </w:rPr>
          <w:t>Register now</w:t>
        </w:r>
      </w:hyperlink>
    </w:p>
    <w:sectPr w:rsidR="00383D65" w:rsidRPr="00F144D0" w:rsidSect="00ED7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4B7" w:rsidRDefault="005A44B7" w:rsidP="00066AB4">
      <w:pPr>
        <w:spacing w:after="0" w:line="240" w:lineRule="auto"/>
      </w:pPr>
      <w:r>
        <w:separator/>
      </w:r>
    </w:p>
  </w:endnote>
  <w:endnote w:type="continuationSeparator" w:id="0">
    <w:p w:rsidR="005A44B7" w:rsidRDefault="005A44B7" w:rsidP="0006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4B7" w:rsidRDefault="005A44B7" w:rsidP="00066AB4">
      <w:pPr>
        <w:spacing w:after="0" w:line="240" w:lineRule="auto"/>
      </w:pPr>
      <w:r>
        <w:separator/>
      </w:r>
    </w:p>
  </w:footnote>
  <w:footnote w:type="continuationSeparator" w:id="0">
    <w:p w:rsidR="005A44B7" w:rsidRDefault="005A44B7" w:rsidP="00066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3720E"/>
    <w:multiLevelType w:val="multilevel"/>
    <w:tmpl w:val="C72A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CD"/>
    <w:rsid w:val="00066AB4"/>
    <w:rsid w:val="00083F1E"/>
    <w:rsid w:val="00094364"/>
    <w:rsid w:val="000D7E61"/>
    <w:rsid w:val="001A5F40"/>
    <w:rsid w:val="001C1861"/>
    <w:rsid w:val="00226B83"/>
    <w:rsid w:val="002728F0"/>
    <w:rsid w:val="00383D65"/>
    <w:rsid w:val="004B71A6"/>
    <w:rsid w:val="004D087C"/>
    <w:rsid w:val="004F56C1"/>
    <w:rsid w:val="00521BE2"/>
    <w:rsid w:val="00546BD1"/>
    <w:rsid w:val="00583269"/>
    <w:rsid w:val="005A44B7"/>
    <w:rsid w:val="006663FA"/>
    <w:rsid w:val="00671EAB"/>
    <w:rsid w:val="00683189"/>
    <w:rsid w:val="006B184F"/>
    <w:rsid w:val="00715AB0"/>
    <w:rsid w:val="00743F80"/>
    <w:rsid w:val="00913D16"/>
    <w:rsid w:val="00A43A8E"/>
    <w:rsid w:val="00A84305"/>
    <w:rsid w:val="00B54860"/>
    <w:rsid w:val="00C022C4"/>
    <w:rsid w:val="00C075AE"/>
    <w:rsid w:val="00C315CD"/>
    <w:rsid w:val="00CB235D"/>
    <w:rsid w:val="00D63850"/>
    <w:rsid w:val="00DB606B"/>
    <w:rsid w:val="00DD5319"/>
    <w:rsid w:val="00EB031C"/>
    <w:rsid w:val="00ED751B"/>
    <w:rsid w:val="00F144D0"/>
    <w:rsid w:val="00F4497B"/>
    <w:rsid w:val="00F5296F"/>
    <w:rsid w:val="00F53465"/>
    <w:rsid w:val="00F5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565C1-877D-43D9-9AAD-A29894C1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15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15C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3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6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66A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6A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6AB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83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F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F1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D5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uc.us15.list-manage.com/track/click?u=7adb4a86ce032ae06ae867c73&amp;id=ab2db5d702&amp;e=29a2c202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Loiter</dc:creator>
  <cp:keywords/>
  <dc:description/>
  <cp:lastModifiedBy>Victor Araujo</cp:lastModifiedBy>
  <cp:revision>2</cp:revision>
  <cp:lastPrinted>2020-09-03T17:23:00Z</cp:lastPrinted>
  <dcterms:created xsi:type="dcterms:W3CDTF">2020-09-10T19:12:00Z</dcterms:created>
  <dcterms:modified xsi:type="dcterms:W3CDTF">2020-09-10T19:12:00Z</dcterms:modified>
</cp:coreProperties>
</file>