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7AB1" w14:textId="583A2541" w:rsidR="0067672F" w:rsidRDefault="002F4BC1">
      <w:pPr>
        <w:rPr>
          <w:b/>
          <w:sz w:val="20"/>
        </w:rPr>
      </w:pPr>
      <w:r>
        <w:rPr>
          <w:noProof/>
        </w:rPr>
        <mc:AlternateContent>
          <mc:Choice Requires="wps">
            <w:drawing>
              <wp:anchor distT="0" distB="0" distL="114300" distR="114300" simplePos="0" relativeHeight="251659264" behindDoc="0" locked="0" layoutInCell="1" allowOverlap="1" wp14:anchorId="337955CF" wp14:editId="75AD0800">
                <wp:simplePos x="0" y="0"/>
                <wp:positionH relativeFrom="column">
                  <wp:posOffset>1267229</wp:posOffset>
                </wp:positionH>
                <wp:positionV relativeFrom="paragraph">
                  <wp:posOffset>1075055</wp:posOffset>
                </wp:positionV>
                <wp:extent cx="3650673" cy="692727"/>
                <wp:effectExtent l="57150" t="19050" r="64135" b="69850"/>
                <wp:wrapNone/>
                <wp:docPr id="3" name="Text Box 3"/>
                <wp:cNvGraphicFramePr/>
                <a:graphic xmlns:a="http://schemas.openxmlformats.org/drawingml/2006/main">
                  <a:graphicData uri="http://schemas.microsoft.com/office/word/2010/wordprocessingShape">
                    <wps:wsp>
                      <wps:cNvSpPr txBox="1"/>
                      <wps:spPr>
                        <a:xfrm>
                          <a:off x="0" y="0"/>
                          <a:ext cx="3650673" cy="692727"/>
                        </a:xfrm>
                        <a:prstGeom prst="rect">
                          <a:avLst/>
                        </a:prstGeom>
                        <a:solidFill>
                          <a:srgbClr val="002060"/>
                        </a:solidFill>
                        <a:ln>
                          <a:noFill/>
                        </a:ln>
                      </wps:spPr>
                      <wps:style>
                        <a:lnRef idx="1">
                          <a:schemeClr val="accent1"/>
                        </a:lnRef>
                        <a:fillRef idx="3">
                          <a:schemeClr val="accent1"/>
                        </a:fillRef>
                        <a:effectRef idx="2">
                          <a:schemeClr val="accent1"/>
                        </a:effectRef>
                        <a:fontRef idx="minor">
                          <a:schemeClr val="lt1"/>
                        </a:fontRef>
                      </wps:style>
                      <wps:txbx>
                        <w:txbxContent>
                          <w:p w14:paraId="0F465714" w14:textId="1669C90C" w:rsidR="00BB1E30" w:rsidRPr="002F4BC1" w:rsidRDefault="00BB1E30" w:rsidP="002F4BC1">
                            <w:pPr>
                              <w:spacing w:after="80"/>
                              <w:jc w:val="center"/>
                              <w:rPr>
                                <w:b/>
                                <w:bCs/>
                                <w:color w:val="FFCC00"/>
                              </w:rPr>
                            </w:pPr>
                            <w:r w:rsidRPr="002F4BC1">
                              <w:rPr>
                                <w:b/>
                                <w:bCs/>
                                <w:color w:val="FFCC00"/>
                              </w:rPr>
                              <w:t>NARUC Staff Subcommittee on Accounting and Finance</w:t>
                            </w:r>
                          </w:p>
                          <w:p w14:paraId="7352A042" w14:textId="6D235AB4" w:rsidR="00BB1E30" w:rsidRPr="002F4BC1" w:rsidRDefault="00BB1E30" w:rsidP="00BB1E30">
                            <w:pPr>
                              <w:jc w:val="center"/>
                              <w:rPr>
                                <w:color w:val="17365D" w:themeColor="text2" w:themeShade="BF"/>
                              </w:rPr>
                            </w:pPr>
                            <w:r>
                              <w:t>In-Person Conference</w:t>
                            </w:r>
                          </w:p>
                          <w:p w14:paraId="005B975E" w14:textId="660209E5" w:rsidR="00BB1E30" w:rsidRDefault="000B54D4" w:rsidP="00BB1E30">
                            <w:pPr>
                              <w:jc w:val="center"/>
                            </w:pPr>
                            <w:r>
                              <w:t>April 7, 2024 to April 10,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7955CF" id="_x0000_t202" coordsize="21600,21600" o:spt="202" path="m,l,21600r21600,l21600,xe">
                <v:stroke joinstyle="miter"/>
                <v:path gradientshapeok="t" o:connecttype="rect"/>
              </v:shapetype>
              <v:shape id="Text Box 3" o:spid="_x0000_s1026" type="#_x0000_t202" style="position:absolute;margin-left:99.8pt;margin-top:84.65pt;width:287.45pt;height:5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" fillcolor="#002060" stroked="f">
                <v:shadow on="t" color="black" opacity="22937f" origin=",.5" offset="0,.63889mm"/>
                <v:textbox>
                  <w:txbxContent>
                    <w:p w14:paraId="0F465714" w14:textId="1669C90C" w:rsidR="00BB1E30" w:rsidRPr="002F4BC1" w:rsidRDefault="00BB1E30" w:rsidP="002F4BC1">
                      <w:pPr>
                        <w:spacing w:after="80"/>
                        <w:jc w:val="center"/>
                        <w:rPr>
                          <w:b/>
                          <w:bCs/>
                          <w:color w:val="FFCC00"/>
                        </w:rPr>
                      </w:pPr>
                      <w:r w:rsidRPr="002F4BC1">
                        <w:rPr>
                          <w:b/>
                          <w:bCs/>
                          <w:color w:val="FFCC00"/>
                        </w:rPr>
                        <w:t>NARUC Staff Subcommittee on Accounting and Finance</w:t>
                      </w:r>
                    </w:p>
                    <w:p w14:paraId="7352A042" w14:textId="6D235AB4" w:rsidR="00BB1E30" w:rsidRPr="002F4BC1" w:rsidRDefault="00BB1E30" w:rsidP="00BB1E30">
                      <w:pPr>
                        <w:jc w:val="center"/>
                        <w:rPr>
                          <w:color w:val="17365D" w:themeColor="text2" w:themeShade="BF"/>
                        </w:rPr>
                      </w:pPr>
                      <w:r>
                        <w:t>In-Person Conference</w:t>
                      </w:r>
                    </w:p>
                    <w:p w14:paraId="005B975E" w14:textId="660209E5" w:rsidR="00BB1E30" w:rsidRDefault="000B54D4" w:rsidP="00BB1E30">
                      <w:pPr>
                        <w:jc w:val="center"/>
                      </w:pPr>
                      <w:r>
                        <w:t>April 7, 2024 to April 10, 2024</w:t>
                      </w:r>
                    </w:p>
                  </w:txbxContent>
                </v:textbox>
              </v:shape>
            </w:pict>
          </mc:Fallback>
        </mc:AlternateContent>
      </w:r>
      <w:r>
        <w:rPr>
          <w:noProof/>
        </w:rPr>
        <w:drawing>
          <wp:inline distT="0" distB="0" distL="0" distR="0" wp14:anchorId="396AB3F6" wp14:editId="34951ABC">
            <wp:extent cx="6108700" cy="1932296"/>
            <wp:effectExtent l="0" t="0" r="635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1667" cy="1945887"/>
                    </a:xfrm>
                    <a:prstGeom prst="rect">
                      <a:avLst/>
                    </a:prstGeom>
                  </pic:spPr>
                </pic:pic>
              </a:graphicData>
            </a:graphic>
          </wp:inline>
        </w:drawing>
      </w:r>
    </w:p>
    <w:p w14:paraId="7B11A2A0" w14:textId="25D02439" w:rsidR="00596D61" w:rsidRDefault="00596D61">
      <w:pPr>
        <w:rPr>
          <w:b/>
          <w:sz w:val="20"/>
        </w:rPr>
      </w:pPr>
    </w:p>
    <w:p w14:paraId="7A06CDC3" w14:textId="3A4FF616" w:rsidR="0040320F" w:rsidRDefault="0040320F">
      <w:pPr>
        <w:rPr>
          <w:b/>
          <w:sz w:val="20"/>
        </w:rPr>
      </w:pPr>
      <w:r>
        <w:rPr>
          <w:b/>
          <w:sz w:val="20"/>
        </w:rPr>
        <w:t>Lucretia Smith, Chair</w:t>
      </w:r>
      <w:r w:rsidR="004A7AD6">
        <w:rPr>
          <w:b/>
          <w:sz w:val="20"/>
        </w:rPr>
        <w:tab/>
      </w:r>
      <w:r w:rsidR="004A7AD6">
        <w:rPr>
          <w:b/>
          <w:sz w:val="20"/>
        </w:rPr>
        <w:tab/>
      </w:r>
      <w:r w:rsidR="002C6669">
        <w:rPr>
          <w:b/>
          <w:sz w:val="20"/>
        </w:rPr>
        <w:t xml:space="preserve">Dolores Midkiff-Powell, Registrar </w:t>
      </w:r>
      <w:r w:rsidR="002974DC">
        <w:rPr>
          <w:b/>
          <w:sz w:val="20"/>
        </w:rPr>
        <w:tab/>
      </w:r>
      <w:r w:rsidR="004A7AD6">
        <w:rPr>
          <w:b/>
          <w:sz w:val="20"/>
        </w:rPr>
        <w:t>Geoffrey Rush, CPE Coordinator</w:t>
      </w:r>
    </w:p>
    <w:p w14:paraId="09682E45" w14:textId="6B63CEEE" w:rsidR="004A7AD6" w:rsidRDefault="004A7AD6">
      <w:pPr>
        <w:rPr>
          <w:b/>
          <w:sz w:val="20"/>
        </w:rPr>
      </w:pPr>
      <w:r>
        <w:rPr>
          <w:b/>
          <w:sz w:val="20"/>
        </w:rPr>
        <w:t>Donn English, Vice-Chair</w:t>
      </w:r>
      <w:r>
        <w:rPr>
          <w:b/>
          <w:sz w:val="20"/>
        </w:rPr>
        <w:tab/>
      </w:r>
      <w:r w:rsidR="002974DC">
        <w:rPr>
          <w:b/>
          <w:sz w:val="20"/>
        </w:rPr>
        <w:t>Karen Moran, Secretary</w:t>
      </w:r>
      <w:r>
        <w:rPr>
          <w:b/>
          <w:sz w:val="20"/>
        </w:rPr>
        <w:tab/>
      </w:r>
      <w:r>
        <w:rPr>
          <w:b/>
          <w:sz w:val="20"/>
        </w:rPr>
        <w:tab/>
      </w:r>
      <w:r>
        <w:rPr>
          <w:b/>
          <w:sz w:val="20"/>
        </w:rPr>
        <w:tab/>
      </w:r>
      <w:r>
        <w:rPr>
          <w:b/>
          <w:sz w:val="20"/>
        </w:rPr>
        <w:tab/>
      </w:r>
    </w:p>
    <w:p w14:paraId="07324122" w14:textId="1ACB6182" w:rsidR="004A7AD6" w:rsidRDefault="00DA76E1" w:rsidP="004A7AD6">
      <w:r>
        <w:rPr>
          <w:highlight w:val="darkBlue"/>
        </w:rPr>
        <w:pict w14:anchorId="07687EAA">
          <v:rect id="_x0000_i1025" style="width:0;height:1.5pt" o:hralign="center" o:hrstd="t" o:hr="t" fillcolor="#a0a0a0" stroked="f"/>
        </w:pict>
      </w:r>
    </w:p>
    <w:p w14:paraId="2652F26A" w14:textId="77777777" w:rsidR="00EA318F" w:rsidRDefault="00EA318F" w:rsidP="00EA318F">
      <w:pPr>
        <w:rPr>
          <w:rFonts w:ascii="Arial" w:hAnsi="Arial" w:cs="Arial"/>
          <w:bCs/>
          <w:color w:val="4F81BD" w:themeColor="accent1"/>
          <w:sz w:val="24"/>
          <w:szCs w:val="24"/>
          <w14:textOutline w14:w="9525" w14:cap="rnd" w14:cmpd="sng" w14:algn="ctr">
            <w14:solidFill>
              <w14:schemeClr w14:val="tx1"/>
            </w14:solidFill>
            <w14:prstDash w14:val="solid"/>
            <w14:bevel/>
          </w14:textOutline>
        </w:rPr>
      </w:pPr>
    </w:p>
    <w:p w14:paraId="2B4ADE7B" w14:textId="58B802DE" w:rsidR="00EA318F" w:rsidRPr="00EA318F" w:rsidRDefault="00EA318F" w:rsidP="00EA318F">
      <w:pPr>
        <w:rPr>
          <w:rFonts w:ascii="Arial" w:hAnsi="Arial" w:cs="Arial"/>
          <w:bCs/>
          <w:color w:val="4F81BD" w:themeColor="accent1"/>
          <w:sz w:val="24"/>
          <w:szCs w:val="24"/>
          <w14:textOutline w14:w="9525" w14:cap="rnd" w14:cmpd="sng" w14:algn="ctr">
            <w14:solidFill>
              <w14:schemeClr w14:val="tx1"/>
            </w14:solidFill>
            <w14:prstDash w14:val="solid"/>
            <w14:bevel/>
          </w14:textOutline>
        </w:rPr>
      </w:pPr>
      <w:r w:rsidRPr="00EA318F">
        <w:rPr>
          <w:rFonts w:ascii="Arial" w:hAnsi="Arial" w:cs="Arial"/>
          <w:bCs/>
          <w:color w:val="4F81BD" w:themeColor="accent1"/>
          <w:sz w:val="24"/>
          <w:szCs w:val="24"/>
          <w14:textOutline w14:w="9525" w14:cap="rnd" w14:cmpd="sng" w14:algn="ctr">
            <w14:solidFill>
              <w14:schemeClr w14:val="tx1"/>
            </w14:solidFill>
            <w14:prstDash w14:val="solid"/>
            <w14:bevel/>
          </w14:textOutline>
        </w:rPr>
        <w:t xml:space="preserve">The National Association of Regulatory Utility Commissioners (NARUC) Staff Subcommittee on Accounting and Finance will be holding its Spring 2024 conference at the Cambria Hotel, Asheville, NC. The purpose of the conference is to provide accounting, finance, and utility regulatory information to personnel with all levels of experience who work in the ever-changing utility regulatory environment. </w:t>
      </w:r>
    </w:p>
    <w:p w14:paraId="7245E95A" w14:textId="77777777" w:rsidR="00EA318F" w:rsidRPr="00EA318F" w:rsidRDefault="00EA318F" w:rsidP="00EA318F">
      <w:pPr>
        <w:rPr>
          <w:rFonts w:ascii="Arial" w:hAnsi="Arial" w:cs="Arial"/>
          <w:bCs/>
          <w:color w:val="4F81BD" w:themeColor="accent1"/>
          <w:sz w:val="24"/>
          <w:szCs w:val="24"/>
          <w14:textOutline w14:w="9525" w14:cap="rnd" w14:cmpd="sng" w14:algn="ctr">
            <w14:solidFill>
              <w14:schemeClr w14:val="tx1"/>
            </w14:solidFill>
            <w14:prstDash w14:val="solid"/>
            <w14:bevel/>
          </w14:textOutline>
        </w:rPr>
      </w:pPr>
    </w:p>
    <w:p w14:paraId="46BA6FB8" w14:textId="7F160546" w:rsidR="00931EB7" w:rsidRPr="00EA318F" w:rsidRDefault="00EA318F" w:rsidP="00EA318F">
      <w:pPr>
        <w:rPr>
          <w:rFonts w:ascii="Arial" w:hAnsi="Arial" w:cs="Arial"/>
          <w:bCs/>
          <w:color w:val="4F81BD" w:themeColor="accent1"/>
          <w:sz w:val="24"/>
          <w:szCs w:val="24"/>
          <w14:textOutline w14:w="9525" w14:cap="rnd" w14:cmpd="sng" w14:algn="ctr">
            <w14:solidFill>
              <w14:schemeClr w14:val="tx1"/>
            </w14:solidFill>
            <w14:prstDash w14:val="solid"/>
            <w14:bevel/>
          </w14:textOutline>
        </w:rPr>
      </w:pPr>
      <w:r w:rsidRPr="00EA318F">
        <w:rPr>
          <w:rFonts w:ascii="Arial" w:hAnsi="Arial" w:cs="Arial"/>
          <w:bCs/>
          <w:color w:val="4F81BD" w:themeColor="accent1"/>
          <w:sz w:val="24"/>
          <w:szCs w:val="24"/>
          <w14:textOutline w14:w="9525" w14:cap="rnd" w14:cmpd="sng" w14:algn="ctr">
            <w14:solidFill>
              <w14:schemeClr w14:val="tx1"/>
            </w14:solidFill>
            <w14:prstDash w14:val="solid"/>
            <w14:bevel/>
          </w14:textOutline>
        </w:rPr>
        <w:t>Open Session for all conferees will be Monday, April 8, 2024 through Wednesday, April 10, 2024.  The Closed Session (for subcommittee members and regulatory conferees) will be Thursday morning, April 11, 2024. There is also a Closed Session Sunday evening, April 7, 2024, at 7 p.m.</w:t>
      </w:r>
    </w:p>
    <w:p w14:paraId="765AAC6F" w14:textId="77777777" w:rsidR="00931EB7" w:rsidRPr="001B6FE9" w:rsidRDefault="00931EB7" w:rsidP="003E2277">
      <w:pPr>
        <w:jc w:val="center"/>
        <w:rPr>
          <w:b/>
          <w:color w:val="4F81BD" w:themeColor="accent1"/>
          <w:sz w:val="32"/>
          <w:szCs w:val="32"/>
          <w14:textOutline w14:w="9525" w14:cap="rnd" w14:cmpd="sng" w14:algn="ctr">
            <w14:solidFill>
              <w14:schemeClr w14:val="tx1"/>
            </w14:solidFill>
            <w14:prstDash w14:val="solid"/>
            <w14:bevel/>
          </w14:textOutline>
        </w:rPr>
      </w:pPr>
    </w:p>
    <w:p w14:paraId="14CA9F74" w14:textId="5A8FD27B" w:rsidR="009C2891" w:rsidRDefault="00164E8B" w:rsidP="003E2277">
      <w:pPr>
        <w:jc w:val="center"/>
        <w:rPr>
          <w:rFonts w:ascii="Arial" w:hAnsi="Arial" w:cs="Arial"/>
          <w:b/>
          <w:color w:val="4F81BD" w:themeColor="accent1"/>
          <w:sz w:val="18"/>
          <w:szCs w:val="18"/>
          <w14:textOutline w14:w="9525" w14:cap="rnd" w14:cmpd="sng" w14:algn="ctr">
            <w14:solidFill>
              <w14:schemeClr w14:val="tx1"/>
            </w14:solidFill>
            <w14:prstDash w14:val="solid"/>
            <w14:bevel/>
          </w14:textOutline>
        </w:rPr>
      </w:pPr>
      <w:r>
        <w:rPr>
          <w:rFonts w:ascii="Arial" w:hAnsi="Arial" w:cs="Arial"/>
          <w:b/>
          <w:noProof/>
          <w:color w:val="4F81BD" w:themeColor="accent1"/>
          <w:sz w:val="18"/>
          <w:szCs w:val="18"/>
          <w14:textOutline w14:w="9525" w14:cap="rnd" w14:cmpd="sng" w14:algn="ctr">
            <w14:solidFill>
              <w14:schemeClr w14:val="tx1"/>
            </w14:solidFill>
            <w14:prstDash w14:val="solid"/>
            <w14:bevel/>
          </w14:textOutline>
        </w:rPr>
        <w:drawing>
          <wp:inline distT="0" distB="0" distL="0" distR="0" wp14:anchorId="74DD42DB" wp14:editId="6A08E1EF">
            <wp:extent cx="4011919" cy="266938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632" cy="2684502"/>
                    </a:xfrm>
                    <a:prstGeom prst="rect">
                      <a:avLst/>
                    </a:prstGeom>
                    <a:noFill/>
                  </pic:spPr>
                </pic:pic>
              </a:graphicData>
            </a:graphic>
          </wp:inline>
        </w:drawing>
      </w:r>
    </w:p>
    <w:p w14:paraId="20BFAA1D" w14:textId="77777777" w:rsidR="00164E8B" w:rsidRDefault="00164E8B" w:rsidP="003E2277">
      <w:pPr>
        <w:jc w:val="center"/>
        <w:rPr>
          <w:rFonts w:ascii="Arial" w:hAnsi="Arial" w:cs="Arial"/>
          <w:b/>
          <w:color w:val="4F81BD" w:themeColor="accent1"/>
          <w:sz w:val="18"/>
          <w:szCs w:val="18"/>
          <w14:textOutline w14:w="9525" w14:cap="rnd" w14:cmpd="sng" w14:algn="ctr">
            <w14:solidFill>
              <w14:schemeClr w14:val="tx1"/>
            </w14:solidFill>
            <w14:prstDash w14:val="solid"/>
            <w14:bevel/>
          </w14:textOutline>
        </w:rPr>
      </w:pPr>
    </w:p>
    <w:p w14:paraId="148DAA8B" w14:textId="77777777" w:rsidR="00AC7CB0" w:rsidRDefault="00AC7CB0" w:rsidP="003E2277">
      <w:pPr>
        <w:jc w:val="center"/>
        <w:rPr>
          <w:rFonts w:ascii="Arial" w:hAnsi="Arial" w:cs="Arial"/>
          <w:b/>
          <w:color w:val="4F81BD" w:themeColor="accent1"/>
          <w:sz w:val="18"/>
          <w:szCs w:val="18"/>
          <w14:textOutline w14:w="9525" w14:cap="rnd" w14:cmpd="sng" w14:algn="ctr">
            <w14:solidFill>
              <w14:schemeClr w14:val="tx1"/>
            </w14:solidFill>
            <w14:prstDash w14:val="solid"/>
            <w14:bevel/>
          </w14:textOutline>
        </w:rPr>
      </w:pPr>
    </w:p>
    <w:p w14:paraId="03982E9E" w14:textId="77777777" w:rsidR="00DF1BEC" w:rsidRPr="00DF1BEC" w:rsidRDefault="00DF1BEC" w:rsidP="00DF1BEC">
      <w:pPr>
        <w:jc w:val="center"/>
        <w:rPr>
          <w:rFonts w:ascii="Arial" w:hAnsi="Arial" w:cs="Arial"/>
          <w:b/>
          <w:bCs/>
          <w:sz w:val="24"/>
          <w:szCs w:val="24"/>
        </w:rPr>
      </w:pPr>
      <w:r w:rsidRPr="00DF1BEC">
        <w:rPr>
          <w:rFonts w:ascii="Arial" w:hAnsi="Arial" w:cs="Arial"/>
          <w:b/>
          <w:bCs/>
          <w:sz w:val="24"/>
          <w:szCs w:val="24"/>
        </w:rPr>
        <w:t>Cambria Hotel, 15 Page Avenue, Asheville, NC, 28801</w:t>
      </w:r>
    </w:p>
    <w:p w14:paraId="00411DC6" w14:textId="77777777" w:rsidR="00DF1BEC" w:rsidRPr="00DF1BEC" w:rsidRDefault="00DF1BEC" w:rsidP="00DF1BEC">
      <w:pPr>
        <w:jc w:val="center"/>
        <w:rPr>
          <w:rFonts w:ascii="Arial" w:hAnsi="Arial" w:cs="Arial"/>
          <w:b/>
          <w:bCs/>
          <w:sz w:val="24"/>
          <w:szCs w:val="24"/>
        </w:rPr>
      </w:pPr>
      <w:r w:rsidRPr="00DF1BEC">
        <w:rPr>
          <w:rFonts w:ascii="Arial" w:hAnsi="Arial" w:cs="Arial"/>
          <w:b/>
          <w:bCs/>
          <w:sz w:val="24"/>
          <w:szCs w:val="24"/>
        </w:rPr>
        <w:t>1(828)348-4850</w:t>
      </w:r>
    </w:p>
    <w:p w14:paraId="5D1FD526" w14:textId="117B9AC3" w:rsidR="00DF1BEC" w:rsidRPr="00DF1BEC" w:rsidRDefault="00DF1BEC" w:rsidP="00DF1BEC">
      <w:pPr>
        <w:jc w:val="center"/>
        <w:rPr>
          <w:rFonts w:ascii="Arial" w:hAnsi="Arial" w:cs="Arial"/>
          <w:b/>
          <w:bCs/>
          <w:sz w:val="24"/>
          <w:szCs w:val="24"/>
        </w:rPr>
      </w:pPr>
      <w:r w:rsidRPr="00DF1BEC">
        <w:rPr>
          <w:rFonts w:ascii="Arial" w:hAnsi="Arial" w:cs="Arial"/>
          <w:b/>
          <w:bCs/>
          <w:sz w:val="24"/>
          <w:szCs w:val="24"/>
        </w:rPr>
        <w:t>Room Rate: $13</w:t>
      </w:r>
      <w:r w:rsidR="00FD14F7">
        <w:rPr>
          <w:rFonts w:ascii="Arial" w:hAnsi="Arial" w:cs="Arial"/>
          <w:b/>
          <w:bCs/>
          <w:sz w:val="24"/>
          <w:szCs w:val="24"/>
        </w:rPr>
        <w:t>5</w:t>
      </w:r>
    </w:p>
    <w:p w14:paraId="09188BD2" w14:textId="2940F0B1" w:rsidR="00164E8B" w:rsidRDefault="00DA76E1" w:rsidP="00DF1BEC">
      <w:pPr>
        <w:jc w:val="center"/>
        <w:rPr>
          <w:rStyle w:val="Hyperlink"/>
          <w:b/>
          <w:bCs/>
          <w:sz w:val="36"/>
          <w:szCs w:val="36"/>
        </w:rPr>
      </w:pPr>
      <w:hyperlink r:id="rId9" w:history="1">
        <w:r w:rsidR="00DF1BEC" w:rsidRPr="00244B56">
          <w:rPr>
            <w:rStyle w:val="Hyperlink"/>
            <w:b/>
            <w:bCs/>
            <w:sz w:val="36"/>
            <w:szCs w:val="36"/>
          </w:rPr>
          <w:t>www.choicehotels.com/reservations/groups/YW69F9</w:t>
        </w:r>
      </w:hyperlink>
    </w:p>
    <w:p w14:paraId="342EE0D8" w14:textId="77777777" w:rsidR="004C1FD8" w:rsidRPr="009C2891" w:rsidRDefault="004C1FD8" w:rsidP="00DF1BEC">
      <w:pPr>
        <w:jc w:val="center"/>
        <w:rPr>
          <w:rFonts w:ascii="Arial" w:hAnsi="Arial" w:cs="Arial"/>
          <w:b/>
          <w:color w:val="4F81BD" w:themeColor="accent1"/>
          <w:sz w:val="18"/>
          <w:szCs w:val="18"/>
          <w14:textOutline w14:w="9525" w14:cap="rnd" w14:cmpd="sng" w14:algn="ctr">
            <w14:solidFill>
              <w14:schemeClr w14:val="tx1"/>
            </w14:solidFill>
            <w14:prstDash w14:val="solid"/>
            <w14:bevel/>
          </w14:textOutline>
        </w:rPr>
      </w:pPr>
    </w:p>
    <w:p w14:paraId="6AEDD0A9" w14:textId="6EAC10D6" w:rsidR="00596D61" w:rsidRPr="00724F4F" w:rsidRDefault="00596D61" w:rsidP="00596D61">
      <w:pPr>
        <w:rPr>
          <w:color w:val="00B0F0"/>
          <w:sz w:val="24"/>
          <w:szCs w:val="24"/>
          <w14:textOutline w14:w="9525" w14:cap="rnd" w14:cmpd="sng" w14:algn="ctr">
            <w14:solidFill>
              <w14:schemeClr w14:val="tx1"/>
            </w14:solidFill>
            <w14:prstDash w14:val="solid"/>
            <w14:bevel/>
          </w14:textOutline>
        </w:rPr>
      </w:pPr>
      <w:r w:rsidRPr="00724F4F">
        <w:rPr>
          <w:color w:val="00B0F0"/>
          <w:sz w:val="24"/>
          <w:szCs w:val="24"/>
          <w14:textOutline w14:w="9525" w14:cap="rnd" w14:cmpd="sng" w14:algn="ctr">
            <w14:solidFill>
              <w14:schemeClr w14:val="tx1"/>
            </w14:solidFill>
            <w14:prstDash w14:val="solid"/>
            <w14:bevel/>
          </w14:textOutline>
        </w:rPr>
        <w:t xml:space="preserve">The NARUC </w:t>
      </w:r>
      <w:r w:rsidR="000F770E" w:rsidRPr="00724F4F">
        <w:rPr>
          <w:color w:val="00B0F0"/>
          <w:sz w:val="24"/>
          <w:szCs w:val="24"/>
          <w14:textOutline w14:w="9525" w14:cap="rnd" w14:cmpd="sng" w14:algn="ctr">
            <w14:solidFill>
              <w14:schemeClr w14:val="tx1"/>
            </w14:solidFill>
            <w14:prstDash w14:val="solid"/>
            <w14:bevel/>
          </w14:textOutline>
        </w:rPr>
        <w:t xml:space="preserve">Staff </w:t>
      </w:r>
      <w:r w:rsidRPr="00724F4F">
        <w:rPr>
          <w:color w:val="00B0F0"/>
          <w:sz w:val="24"/>
          <w:szCs w:val="24"/>
          <w14:textOutline w14:w="9525" w14:cap="rnd" w14:cmpd="sng" w14:algn="ctr">
            <w14:solidFill>
              <w14:schemeClr w14:val="tx1"/>
            </w14:solidFill>
            <w14:prstDash w14:val="solid"/>
            <w14:bevel/>
          </w14:textOutline>
        </w:rPr>
        <w:t xml:space="preserve">Subcommittee </w:t>
      </w:r>
      <w:r w:rsidR="000F770E" w:rsidRPr="00724F4F">
        <w:rPr>
          <w:color w:val="00B0F0"/>
          <w:sz w:val="24"/>
          <w:szCs w:val="24"/>
          <w14:textOutline w14:w="9525" w14:cap="rnd" w14:cmpd="sng" w14:algn="ctr">
            <w14:solidFill>
              <w14:schemeClr w14:val="tx1"/>
            </w14:solidFill>
            <w14:prstDash w14:val="solid"/>
            <w14:bevel/>
          </w14:textOutline>
        </w:rPr>
        <w:t xml:space="preserve">on Accounting &amp; Finance </w:t>
      </w:r>
      <w:r w:rsidRPr="00724F4F">
        <w:rPr>
          <w:color w:val="00B0F0"/>
          <w:sz w:val="24"/>
          <w:szCs w:val="24"/>
          <w14:textOutline w14:w="9525" w14:cap="rnd" w14:cmpd="sng" w14:algn="ctr">
            <w14:solidFill>
              <w14:schemeClr w14:val="tx1"/>
            </w14:solidFill>
            <w14:prstDash w14:val="solid"/>
            <w14:bevel/>
          </w14:textOutline>
        </w:rPr>
        <w:t>thanks the AMERICAN GAS ASSOCIATION for sponsoring our FASB speaker</w:t>
      </w:r>
      <w:r w:rsidR="000F770E" w:rsidRPr="00724F4F">
        <w:rPr>
          <w:color w:val="00B0F0"/>
          <w:sz w:val="24"/>
          <w:szCs w:val="24"/>
          <w14:textOutline w14:w="9525" w14:cap="rnd" w14:cmpd="sng" w14:algn="ctr">
            <w14:solidFill>
              <w14:schemeClr w14:val="tx1"/>
            </w14:solidFill>
            <w14:prstDash w14:val="solid"/>
            <w14:bevel/>
          </w14:textOutline>
        </w:rPr>
        <w:t xml:space="preserve"> and EEI for sponsoring the Monday night networking event.</w:t>
      </w:r>
      <w:r w:rsidRPr="00724F4F">
        <w:rPr>
          <w:color w:val="00B0F0"/>
          <w:sz w:val="24"/>
          <w:szCs w:val="24"/>
          <w14:textOutline w14:w="9525" w14:cap="rnd" w14:cmpd="sng" w14:algn="ctr">
            <w14:solidFill>
              <w14:schemeClr w14:val="tx1"/>
            </w14:solidFill>
            <w14:prstDash w14:val="solid"/>
            <w14:bevel/>
          </w14:textOutline>
        </w:rPr>
        <w:t>!!</w:t>
      </w:r>
    </w:p>
    <w:p w14:paraId="5F03895E" w14:textId="108BC01D" w:rsidR="00596D61" w:rsidRPr="00724F4F" w:rsidRDefault="00596D61" w:rsidP="00596D61">
      <w:pPr>
        <w:rPr>
          <w:color w:val="00B0F0"/>
          <w:sz w:val="24"/>
          <w:szCs w:val="24"/>
          <w14:textOutline w14:w="9525" w14:cap="rnd" w14:cmpd="sng" w14:algn="ctr">
            <w14:solidFill>
              <w14:schemeClr w14:val="tx1"/>
            </w14:solidFill>
            <w14:prstDash w14:val="solid"/>
            <w14:bevel/>
          </w14:textOutline>
        </w:rPr>
      </w:pPr>
      <w:r w:rsidRPr="00724F4F">
        <w:rPr>
          <w:color w:val="00B0F0"/>
          <w:sz w:val="24"/>
          <w:szCs w:val="24"/>
          <w14:textOutline w14:w="9525" w14:cap="rnd" w14:cmpd="sng" w14:algn="ctr">
            <w14:solidFill>
              <w14:schemeClr w14:val="tx1"/>
            </w14:solidFill>
            <w14:prstDash w14:val="solid"/>
            <w14:bevel/>
          </w14:textOutline>
        </w:rPr>
        <w:lastRenderedPageBreak/>
        <w:t xml:space="preserve">A special </w:t>
      </w:r>
      <w:r w:rsidRPr="00724F4F">
        <w:rPr>
          <w:color w:val="00B0F0"/>
          <w:sz w:val="24"/>
          <w:szCs w:val="24"/>
          <w:u w:val="single"/>
          <w14:textOutline w14:w="9525" w14:cap="rnd" w14:cmpd="sng" w14:algn="ctr">
            <w14:solidFill>
              <w14:schemeClr w14:val="tx1"/>
            </w14:solidFill>
            <w14:prstDash w14:val="solid"/>
            <w14:bevel/>
          </w14:textOutline>
        </w:rPr>
        <w:t>THANK YOU</w:t>
      </w:r>
      <w:r w:rsidRPr="00724F4F">
        <w:rPr>
          <w:color w:val="00B0F0"/>
          <w:sz w:val="24"/>
          <w:szCs w:val="24"/>
          <w14:textOutline w14:w="9525" w14:cap="rnd" w14:cmpd="sng" w14:algn="ctr">
            <w14:solidFill>
              <w14:schemeClr w14:val="tx1"/>
            </w14:solidFill>
            <w14:prstDash w14:val="solid"/>
            <w14:bevel/>
          </w14:textOutline>
        </w:rPr>
        <w:t xml:space="preserve"> to all our speakers and their employers for supporting this conference!!</w:t>
      </w:r>
    </w:p>
    <w:p w14:paraId="5C55C02C" w14:textId="60BA3532" w:rsidR="00BF05D9" w:rsidRPr="00724F4F" w:rsidRDefault="00BF05D9" w:rsidP="00596D61">
      <w:pPr>
        <w:rPr>
          <w:color w:val="00B0F0"/>
          <w:sz w:val="24"/>
          <w:szCs w:val="24"/>
          <w14:textOutline w14:w="9525" w14:cap="rnd" w14:cmpd="sng" w14:algn="ctr">
            <w14:solidFill>
              <w14:schemeClr w14:val="tx1"/>
            </w14:solidFill>
            <w14:prstDash w14:val="solid"/>
            <w14:bevel/>
          </w14:textOutline>
        </w:rPr>
      </w:pPr>
    </w:p>
    <w:p w14:paraId="728FCF0D" w14:textId="6EA74D26" w:rsidR="00487C05" w:rsidRDefault="00E61257">
      <w:pPr>
        <w:rPr>
          <w:b/>
          <w:sz w:val="24"/>
          <w:szCs w:val="24"/>
        </w:rPr>
      </w:pPr>
      <w:r w:rsidRPr="003F1934">
        <w:rPr>
          <w:b/>
          <w:sz w:val="24"/>
          <w:szCs w:val="24"/>
        </w:rPr>
        <w:t xml:space="preserve">Conference </w:t>
      </w:r>
      <w:r w:rsidR="00487C05" w:rsidRPr="003F1934">
        <w:rPr>
          <w:b/>
          <w:sz w:val="24"/>
          <w:szCs w:val="24"/>
        </w:rPr>
        <w:t>Registration to be Available by mid-</w:t>
      </w:r>
      <w:r w:rsidR="008269F8">
        <w:rPr>
          <w:b/>
          <w:sz w:val="24"/>
          <w:szCs w:val="24"/>
        </w:rPr>
        <w:t>February</w:t>
      </w:r>
      <w:r w:rsidR="00487C05" w:rsidRPr="003F1934">
        <w:rPr>
          <w:b/>
          <w:sz w:val="24"/>
          <w:szCs w:val="24"/>
        </w:rPr>
        <w:t xml:space="preserve"> - $295 for </w:t>
      </w:r>
      <w:r w:rsidR="00F22301" w:rsidRPr="003F1934">
        <w:rPr>
          <w:b/>
          <w:sz w:val="24"/>
          <w:szCs w:val="24"/>
        </w:rPr>
        <w:t xml:space="preserve">State Commission attendees and </w:t>
      </w:r>
      <w:r w:rsidR="00496BD7" w:rsidRPr="003F1934">
        <w:rPr>
          <w:b/>
          <w:sz w:val="24"/>
          <w:szCs w:val="24"/>
        </w:rPr>
        <w:t>observers</w:t>
      </w:r>
      <w:r w:rsidR="00F22301" w:rsidRPr="003F1934">
        <w:rPr>
          <w:b/>
          <w:sz w:val="24"/>
          <w:szCs w:val="24"/>
        </w:rPr>
        <w:t>; $</w:t>
      </w:r>
      <w:r w:rsidR="005D78D5" w:rsidRPr="003F1934">
        <w:rPr>
          <w:b/>
          <w:sz w:val="24"/>
          <w:szCs w:val="24"/>
        </w:rPr>
        <w:t>3</w:t>
      </w:r>
      <w:r w:rsidR="008269F8">
        <w:rPr>
          <w:b/>
          <w:sz w:val="24"/>
          <w:szCs w:val="24"/>
        </w:rPr>
        <w:t>50</w:t>
      </w:r>
      <w:r w:rsidR="00F22301" w:rsidRPr="003F1934">
        <w:rPr>
          <w:b/>
          <w:sz w:val="24"/>
          <w:szCs w:val="24"/>
        </w:rPr>
        <w:t xml:space="preserve"> for Industry and Other </w:t>
      </w:r>
      <w:r w:rsidR="00496BD7" w:rsidRPr="003F1934">
        <w:rPr>
          <w:b/>
          <w:sz w:val="24"/>
          <w:szCs w:val="24"/>
        </w:rPr>
        <w:t>participants</w:t>
      </w:r>
      <w:r w:rsidR="00BC2233">
        <w:rPr>
          <w:b/>
          <w:sz w:val="24"/>
          <w:szCs w:val="24"/>
        </w:rPr>
        <w:t xml:space="preserve"> (Breakfast will be included)</w:t>
      </w:r>
    </w:p>
    <w:p w14:paraId="35098F66" w14:textId="77777777" w:rsidR="00F937F1" w:rsidRDefault="00F937F1">
      <w:pPr>
        <w:rPr>
          <w:b/>
          <w:sz w:val="24"/>
          <w:szCs w:val="24"/>
        </w:rPr>
      </w:pPr>
    </w:p>
    <w:p w14:paraId="0206EC38" w14:textId="28671E7F" w:rsidR="00F937F1" w:rsidRDefault="00F937F1">
      <w:pPr>
        <w:rPr>
          <w:b/>
          <w:sz w:val="24"/>
          <w:szCs w:val="24"/>
        </w:rPr>
      </w:pPr>
      <w:r>
        <w:rPr>
          <w:b/>
          <w:sz w:val="24"/>
          <w:szCs w:val="24"/>
        </w:rPr>
        <w:t>Discounted Valet Parking available for $7 per night – self-parking not available</w:t>
      </w:r>
    </w:p>
    <w:p w14:paraId="04008F78" w14:textId="248C92A3" w:rsidR="00CD2DB0" w:rsidRDefault="00CD2DB0">
      <w:pPr>
        <w:rPr>
          <w:b/>
          <w:sz w:val="28"/>
          <w:szCs w:val="28"/>
        </w:rPr>
      </w:pPr>
    </w:p>
    <w:p w14:paraId="3FE238DA" w14:textId="1903EFE9" w:rsidR="00CD2DB0" w:rsidRDefault="00CD2DB0">
      <w:pPr>
        <w:rPr>
          <w:b/>
          <w:sz w:val="24"/>
          <w:szCs w:val="24"/>
        </w:rPr>
      </w:pPr>
      <w:r w:rsidRPr="00CD2DB0">
        <w:rPr>
          <w:b/>
          <w:sz w:val="24"/>
          <w:szCs w:val="24"/>
        </w:rPr>
        <w:t>Tuesday/Wednesday night event TBD</w:t>
      </w:r>
    </w:p>
    <w:p w14:paraId="2C40FB5B" w14:textId="77777777" w:rsidR="008269F8" w:rsidRPr="00CD2DB0" w:rsidRDefault="008269F8">
      <w:pPr>
        <w:rPr>
          <w:b/>
          <w:sz w:val="24"/>
          <w:szCs w:val="24"/>
        </w:rPr>
      </w:pPr>
    </w:p>
    <w:p w14:paraId="453AFD6B" w14:textId="12072674" w:rsidR="00596D61" w:rsidRPr="00724F4F" w:rsidRDefault="006C141F">
      <w:pPr>
        <w:rPr>
          <w:b/>
          <w:sz w:val="24"/>
          <w:szCs w:val="24"/>
          <w:u w:val="single"/>
        </w:rPr>
      </w:pPr>
      <w:r w:rsidRPr="00724F4F">
        <w:rPr>
          <w:b/>
          <w:sz w:val="24"/>
          <w:szCs w:val="24"/>
          <w:u w:val="single"/>
        </w:rPr>
        <w:t xml:space="preserve">Agenda Topics (Final Speakers and </w:t>
      </w:r>
      <w:r w:rsidR="00825B95" w:rsidRPr="00724F4F">
        <w:rPr>
          <w:b/>
          <w:sz w:val="24"/>
          <w:szCs w:val="24"/>
          <w:u w:val="single"/>
        </w:rPr>
        <w:t>Day/</w:t>
      </w:r>
      <w:r w:rsidRPr="00724F4F">
        <w:rPr>
          <w:b/>
          <w:sz w:val="24"/>
          <w:szCs w:val="24"/>
          <w:u w:val="single"/>
        </w:rPr>
        <w:t xml:space="preserve">Times Still being developed) </w:t>
      </w:r>
    </w:p>
    <w:p w14:paraId="7EBBAD23" w14:textId="00EE1201" w:rsidR="006C4772" w:rsidRDefault="006C4772">
      <w:pPr>
        <w:rPr>
          <w:b/>
          <w:sz w:val="24"/>
          <w:szCs w:val="24"/>
        </w:rPr>
      </w:pPr>
    </w:p>
    <w:p w14:paraId="48354E42" w14:textId="591ED5F3" w:rsidR="006C4772" w:rsidRDefault="006C4772">
      <w:pPr>
        <w:rPr>
          <w:b/>
          <w:sz w:val="24"/>
          <w:szCs w:val="24"/>
        </w:rPr>
      </w:pPr>
      <w:r>
        <w:rPr>
          <w:b/>
          <w:sz w:val="24"/>
          <w:szCs w:val="24"/>
        </w:rPr>
        <w:t>Sunday</w:t>
      </w:r>
      <w:r w:rsidR="00DC5F56">
        <w:rPr>
          <w:b/>
          <w:sz w:val="24"/>
          <w:szCs w:val="24"/>
        </w:rPr>
        <w:t xml:space="preserve">, </w:t>
      </w:r>
      <w:r w:rsidR="001E115F">
        <w:rPr>
          <w:b/>
          <w:sz w:val="24"/>
          <w:szCs w:val="24"/>
        </w:rPr>
        <w:t>April 7, 2024</w:t>
      </w:r>
      <w:r>
        <w:rPr>
          <w:b/>
          <w:sz w:val="24"/>
          <w:szCs w:val="24"/>
        </w:rPr>
        <w:t xml:space="preserve"> (Closed Session) </w:t>
      </w:r>
    </w:p>
    <w:p w14:paraId="16B78852" w14:textId="44143E4D" w:rsidR="006C4772" w:rsidRPr="00283590" w:rsidRDefault="006C4772" w:rsidP="006C4772">
      <w:pPr>
        <w:pStyle w:val="ListParagraph"/>
        <w:numPr>
          <w:ilvl w:val="0"/>
          <w:numId w:val="4"/>
        </w:numPr>
        <w:rPr>
          <w:bCs/>
          <w:sz w:val="24"/>
          <w:szCs w:val="24"/>
        </w:rPr>
      </w:pPr>
      <w:r w:rsidRPr="00283590">
        <w:rPr>
          <w:bCs/>
          <w:sz w:val="24"/>
          <w:szCs w:val="24"/>
        </w:rPr>
        <w:t>Discussion with FASB</w:t>
      </w:r>
      <w:r w:rsidR="00BC23E8" w:rsidRPr="00283590">
        <w:rPr>
          <w:bCs/>
          <w:sz w:val="24"/>
          <w:szCs w:val="24"/>
        </w:rPr>
        <w:t xml:space="preserve"> Representative</w:t>
      </w:r>
    </w:p>
    <w:p w14:paraId="1FC3E75D" w14:textId="58D4E798" w:rsidR="006C141F" w:rsidRDefault="006C141F">
      <w:pPr>
        <w:rPr>
          <w:b/>
          <w:sz w:val="24"/>
          <w:szCs w:val="24"/>
        </w:rPr>
      </w:pPr>
    </w:p>
    <w:p w14:paraId="7AC5A60E" w14:textId="7F7EEA8E" w:rsidR="006C141F" w:rsidRDefault="006C141F">
      <w:pPr>
        <w:rPr>
          <w:b/>
          <w:sz w:val="24"/>
          <w:szCs w:val="24"/>
        </w:rPr>
      </w:pPr>
      <w:r>
        <w:rPr>
          <w:b/>
          <w:sz w:val="24"/>
          <w:szCs w:val="24"/>
        </w:rPr>
        <w:t>Monday</w:t>
      </w:r>
      <w:r w:rsidR="00CA4E73">
        <w:rPr>
          <w:b/>
          <w:sz w:val="24"/>
          <w:szCs w:val="24"/>
        </w:rPr>
        <w:t xml:space="preserve"> </w:t>
      </w:r>
      <w:r w:rsidR="00B00CDF">
        <w:rPr>
          <w:b/>
          <w:sz w:val="24"/>
          <w:szCs w:val="24"/>
        </w:rPr>
        <w:t>–</w:t>
      </w:r>
      <w:r w:rsidR="00CA4E73">
        <w:rPr>
          <w:b/>
          <w:sz w:val="24"/>
          <w:szCs w:val="24"/>
        </w:rPr>
        <w:t xml:space="preserve"> Wednesday</w:t>
      </w:r>
      <w:r w:rsidR="00B00CDF">
        <w:rPr>
          <w:b/>
          <w:sz w:val="24"/>
          <w:szCs w:val="24"/>
        </w:rPr>
        <w:t xml:space="preserve"> </w:t>
      </w:r>
      <w:r w:rsidR="00283590">
        <w:rPr>
          <w:b/>
          <w:sz w:val="24"/>
          <w:szCs w:val="24"/>
        </w:rPr>
        <w:t xml:space="preserve">- </w:t>
      </w:r>
      <w:r w:rsidR="000278F6">
        <w:rPr>
          <w:b/>
          <w:sz w:val="24"/>
          <w:szCs w:val="24"/>
        </w:rPr>
        <w:t xml:space="preserve">Sessions Open to All </w:t>
      </w:r>
      <w:r w:rsidR="00E455E3">
        <w:rPr>
          <w:b/>
          <w:sz w:val="24"/>
          <w:szCs w:val="24"/>
        </w:rPr>
        <w:t>Attendees</w:t>
      </w:r>
      <w:r w:rsidR="0071666A">
        <w:rPr>
          <w:b/>
          <w:sz w:val="24"/>
          <w:szCs w:val="24"/>
        </w:rPr>
        <w:t xml:space="preserve"> except as noted </w:t>
      </w:r>
      <w:proofErr w:type="gramStart"/>
      <w:r w:rsidR="0071666A">
        <w:rPr>
          <w:b/>
          <w:sz w:val="24"/>
          <w:szCs w:val="24"/>
        </w:rPr>
        <w:t>below</w:t>
      </w:r>
      <w:proofErr w:type="gramEnd"/>
    </w:p>
    <w:p w14:paraId="7F566C45" w14:textId="63A49899" w:rsidR="0099724C" w:rsidRDefault="001E115F">
      <w:pPr>
        <w:rPr>
          <w:b/>
          <w:sz w:val="24"/>
          <w:szCs w:val="24"/>
        </w:rPr>
      </w:pPr>
      <w:r>
        <w:rPr>
          <w:b/>
          <w:sz w:val="24"/>
          <w:szCs w:val="24"/>
        </w:rPr>
        <w:t>April 8, 2024 to April 10, 2024</w:t>
      </w:r>
    </w:p>
    <w:p w14:paraId="4EF1461A" w14:textId="5DED761C" w:rsidR="00E455E3" w:rsidRDefault="005E3F4C">
      <w:pPr>
        <w:rPr>
          <w:b/>
          <w:sz w:val="24"/>
          <w:szCs w:val="24"/>
        </w:rPr>
      </w:pPr>
      <w:r>
        <w:rPr>
          <w:b/>
          <w:sz w:val="24"/>
          <w:szCs w:val="24"/>
        </w:rPr>
        <w:t xml:space="preserve">8 a.m. to </w:t>
      </w:r>
      <w:r w:rsidR="000B1969">
        <w:rPr>
          <w:b/>
          <w:sz w:val="24"/>
          <w:szCs w:val="24"/>
        </w:rPr>
        <w:t xml:space="preserve">approximately </w:t>
      </w:r>
      <w:r>
        <w:rPr>
          <w:b/>
          <w:sz w:val="24"/>
          <w:szCs w:val="24"/>
        </w:rPr>
        <w:t>5 p.m.</w:t>
      </w:r>
      <w:r w:rsidR="004322DE">
        <w:rPr>
          <w:b/>
          <w:sz w:val="24"/>
          <w:szCs w:val="24"/>
        </w:rPr>
        <w:t xml:space="preserve"> </w:t>
      </w:r>
    </w:p>
    <w:p w14:paraId="11C5FD1F" w14:textId="77777777" w:rsidR="005E3F4C" w:rsidRDefault="005E3F4C">
      <w:pPr>
        <w:rPr>
          <w:b/>
          <w:sz w:val="24"/>
          <w:szCs w:val="24"/>
        </w:rPr>
      </w:pPr>
    </w:p>
    <w:p w14:paraId="153C7893" w14:textId="5DBD9844" w:rsidR="006C141F" w:rsidRPr="00283590" w:rsidRDefault="006C141F" w:rsidP="006C141F">
      <w:pPr>
        <w:pStyle w:val="ListParagraph"/>
        <w:numPr>
          <w:ilvl w:val="0"/>
          <w:numId w:val="1"/>
        </w:numPr>
        <w:rPr>
          <w:bCs/>
          <w:sz w:val="24"/>
          <w:szCs w:val="24"/>
        </w:rPr>
      </w:pPr>
      <w:r w:rsidRPr="00283590">
        <w:rPr>
          <w:bCs/>
          <w:sz w:val="24"/>
          <w:szCs w:val="24"/>
        </w:rPr>
        <w:t xml:space="preserve">Welcome from </w:t>
      </w:r>
      <w:r w:rsidR="00FE07FA">
        <w:rPr>
          <w:bCs/>
          <w:sz w:val="24"/>
          <w:szCs w:val="24"/>
        </w:rPr>
        <w:t>North Carolina</w:t>
      </w:r>
      <w:r w:rsidRPr="00283590">
        <w:rPr>
          <w:bCs/>
          <w:sz w:val="24"/>
          <w:szCs w:val="24"/>
        </w:rPr>
        <w:t xml:space="preserve"> Commission</w:t>
      </w:r>
    </w:p>
    <w:p w14:paraId="56AFCB36" w14:textId="6C58DFD5" w:rsidR="006C141F" w:rsidRPr="00283590" w:rsidRDefault="006C141F" w:rsidP="006C141F">
      <w:pPr>
        <w:pStyle w:val="ListParagraph"/>
        <w:numPr>
          <w:ilvl w:val="0"/>
          <w:numId w:val="1"/>
        </w:numPr>
        <w:rPr>
          <w:bCs/>
          <w:sz w:val="24"/>
          <w:szCs w:val="24"/>
        </w:rPr>
      </w:pPr>
      <w:r w:rsidRPr="00283590">
        <w:rPr>
          <w:bCs/>
          <w:sz w:val="24"/>
          <w:szCs w:val="24"/>
        </w:rPr>
        <w:t>FASB Update</w:t>
      </w:r>
    </w:p>
    <w:p w14:paraId="288FE8BD" w14:textId="7B60BC69" w:rsidR="00595839" w:rsidRDefault="00E85A71" w:rsidP="006C141F">
      <w:pPr>
        <w:pStyle w:val="ListParagraph"/>
        <w:numPr>
          <w:ilvl w:val="0"/>
          <w:numId w:val="1"/>
        </w:numPr>
        <w:rPr>
          <w:bCs/>
          <w:sz w:val="24"/>
          <w:szCs w:val="24"/>
        </w:rPr>
      </w:pPr>
      <w:r>
        <w:rPr>
          <w:bCs/>
          <w:sz w:val="24"/>
          <w:szCs w:val="24"/>
        </w:rPr>
        <w:t>R</w:t>
      </w:r>
      <w:r w:rsidR="009B4D1E">
        <w:rPr>
          <w:bCs/>
          <w:sz w:val="24"/>
          <w:szCs w:val="24"/>
        </w:rPr>
        <w:t>ural Utilities Update</w:t>
      </w:r>
    </w:p>
    <w:p w14:paraId="537ED455" w14:textId="30D89371" w:rsidR="003D5625" w:rsidRDefault="003D5625" w:rsidP="006C141F">
      <w:pPr>
        <w:pStyle w:val="ListParagraph"/>
        <w:numPr>
          <w:ilvl w:val="0"/>
          <w:numId w:val="1"/>
        </w:numPr>
        <w:rPr>
          <w:bCs/>
          <w:sz w:val="24"/>
          <w:szCs w:val="24"/>
        </w:rPr>
      </w:pPr>
      <w:r>
        <w:rPr>
          <w:bCs/>
          <w:sz w:val="24"/>
          <w:szCs w:val="24"/>
        </w:rPr>
        <w:t>FERC Update</w:t>
      </w:r>
    </w:p>
    <w:p w14:paraId="4C026269" w14:textId="57586AB1" w:rsidR="003D5625" w:rsidRDefault="003D5625" w:rsidP="006C141F">
      <w:pPr>
        <w:pStyle w:val="ListParagraph"/>
        <w:numPr>
          <w:ilvl w:val="0"/>
          <w:numId w:val="1"/>
        </w:numPr>
        <w:rPr>
          <w:bCs/>
          <w:sz w:val="24"/>
          <w:szCs w:val="24"/>
        </w:rPr>
      </w:pPr>
      <w:r>
        <w:rPr>
          <w:bCs/>
          <w:sz w:val="24"/>
          <w:szCs w:val="24"/>
        </w:rPr>
        <w:t>Virtual Power Plants</w:t>
      </w:r>
      <w:r w:rsidR="00DC0889">
        <w:rPr>
          <w:bCs/>
          <w:sz w:val="24"/>
          <w:szCs w:val="24"/>
        </w:rPr>
        <w:t xml:space="preserve"> - Tesla</w:t>
      </w:r>
    </w:p>
    <w:p w14:paraId="399FF20A" w14:textId="74A9A05E" w:rsidR="003D5625" w:rsidRPr="00283590" w:rsidRDefault="003D5625" w:rsidP="006C141F">
      <w:pPr>
        <w:pStyle w:val="ListParagraph"/>
        <w:numPr>
          <w:ilvl w:val="0"/>
          <w:numId w:val="1"/>
        </w:numPr>
        <w:rPr>
          <w:bCs/>
          <w:sz w:val="24"/>
          <w:szCs w:val="24"/>
        </w:rPr>
      </w:pPr>
      <w:r>
        <w:rPr>
          <w:bCs/>
          <w:sz w:val="24"/>
          <w:szCs w:val="24"/>
        </w:rPr>
        <w:t>No Net Zer</w:t>
      </w:r>
      <w:r w:rsidR="00DC0889">
        <w:rPr>
          <w:bCs/>
          <w:sz w:val="24"/>
          <w:szCs w:val="24"/>
        </w:rPr>
        <w:t>o Without Nature  - NextGen Energy Partners</w:t>
      </w:r>
    </w:p>
    <w:p w14:paraId="76344394" w14:textId="79B21B2C" w:rsidR="006C141F" w:rsidRDefault="00F345E6" w:rsidP="006C141F">
      <w:pPr>
        <w:pStyle w:val="ListParagraph"/>
        <w:numPr>
          <w:ilvl w:val="0"/>
          <w:numId w:val="1"/>
        </w:numPr>
        <w:rPr>
          <w:bCs/>
          <w:sz w:val="24"/>
          <w:szCs w:val="24"/>
        </w:rPr>
      </w:pPr>
      <w:r>
        <w:rPr>
          <w:bCs/>
          <w:sz w:val="24"/>
          <w:szCs w:val="24"/>
        </w:rPr>
        <w:t>Net Operating Losses/ADIT and FERC and Retail Rates</w:t>
      </w:r>
      <w:r w:rsidR="00F37879">
        <w:rPr>
          <w:bCs/>
          <w:sz w:val="24"/>
          <w:szCs w:val="24"/>
        </w:rPr>
        <w:t xml:space="preserve"> - GDS</w:t>
      </w:r>
    </w:p>
    <w:p w14:paraId="01C71510" w14:textId="3DE5CA3B" w:rsidR="003F0F0F" w:rsidRDefault="00F345E6" w:rsidP="006C141F">
      <w:pPr>
        <w:pStyle w:val="ListParagraph"/>
        <w:numPr>
          <w:ilvl w:val="0"/>
          <w:numId w:val="1"/>
        </w:numPr>
        <w:rPr>
          <w:bCs/>
          <w:sz w:val="24"/>
          <w:szCs w:val="24"/>
        </w:rPr>
      </w:pPr>
      <w:r>
        <w:rPr>
          <w:bCs/>
          <w:sz w:val="24"/>
          <w:szCs w:val="24"/>
        </w:rPr>
        <w:t xml:space="preserve">AI and Regulatory Analysis - </w:t>
      </w:r>
      <w:proofErr w:type="spellStart"/>
      <w:r w:rsidR="00FF1EB8">
        <w:rPr>
          <w:bCs/>
          <w:sz w:val="24"/>
          <w:szCs w:val="24"/>
        </w:rPr>
        <w:t>HData</w:t>
      </w:r>
      <w:proofErr w:type="spellEnd"/>
    </w:p>
    <w:p w14:paraId="1C98138E" w14:textId="3743E85D" w:rsidR="003F0F0F" w:rsidRDefault="00E31952" w:rsidP="006C141F">
      <w:pPr>
        <w:pStyle w:val="ListParagraph"/>
        <w:numPr>
          <w:ilvl w:val="0"/>
          <w:numId w:val="1"/>
        </w:numPr>
        <w:rPr>
          <w:bCs/>
          <w:sz w:val="24"/>
          <w:szCs w:val="24"/>
        </w:rPr>
      </w:pPr>
      <w:r>
        <w:rPr>
          <w:bCs/>
          <w:sz w:val="24"/>
          <w:szCs w:val="24"/>
        </w:rPr>
        <w:t xml:space="preserve">Impact of </w:t>
      </w:r>
      <w:r w:rsidR="00FF1EB8">
        <w:rPr>
          <w:bCs/>
          <w:sz w:val="24"/>
          <w:szCs w:val="24"/>
        </w:rPr>
        <w:t>Wildfire</w:t>
      </w:r>
      <w:r>
        <w:rPr>
          <w:bCs/>
          <w:sz w:val="24"/>
          <w:szCs w:val="24"/>
        </w:rPr>
        <w:t xml:space="preserve">s - </w:t>
      </w:r>
      <w:r w:rsidR="00FF1EB8">
        <w:rPr>
          <w:bCs/>
          <w:sz w:val="24"/>
          <w:szCs w:val="24"/>
        </w:rPr>
        <w:t xml:space="preserve"> Accounting</w:t>
      </w:r>
      <w:r w:rsidR="007A1AEE">
        <w:rPr>
          <w:bCs/>
          <w:sz w:val="24"/>
          <w:szCs w:val="24"/>
        </w:rPr>
        <w:t>/Regulation</w:t>
      </w:r>
      <w:r w:rsidR="00FF1EB8">
        <w:rPr>
          <w:bCs/>
          <w:sz w:val="24"/>
          <w:szCs w:val="24"/>
        </w:rPr>
        <w:t xml:space="preserve"> – </w:t>
      </w:r>
      <w:proofErr w:type="spellStart"/>
      <w:r w:rsidR="00FF1EB8">
        <w:rPr>
          <w:bCs/>
          <w:sz w:val="24"/>
          <w:szCs w:val="24"/>
        </w:rPr>
        <w:t>Avista</w:t>
      </w:r>
      <w:proofErr w:type="spellEnd"/>
    </w:p>
    <w:p w14:paraId="698D638F" w14:textId="0CED48A3" w:rsidR="00FF1EB8" w:rsidRPr="00283590" w:rsidRDefault="00FF1EB8" w:rsidP="006C141F">
      <w:pPr>
        <w:pStyle w:val="ListParagraph"/>
        <w:numPr>
          <w:ilvl w:val="0"/>
          <w:numId w:val="1"/>
        </w:numPr>
        <w:rPr>
          <w:bCs/>
          <w:sz w:val="24"/>
          <w:szCs w:val="24"/>
        </w:rPr>
      </w:pPr>
      <w:r>
        <w:rPr>
          <w:bCs/>
          <w:sz w:val="24"/>
          <w:szCs w:val="24"/>
        </w:rPr>
        <w:t xml:space="preserve">GHG Emission Reporting for the Power Sector </w:t>
      </w:r>
      <w:r w:rsidR="00776EE5">
        <w:rPr>
          <w:bCs/>
          <w:sz w:val="24"/>
          <w:szCs w:val="24"/>
        </w:rPr>
        <w:t>- EEI</w:t>
      </w:r>
    </w:p>
    <w:p w14:paraId="0B578DBD" w14:textId="494B8653" w:rsidR="006C141F" w:rsidRDefault="00532703" w:rsidP="006C141F">
      <w:pPr>
        <w:pStyle w:val="ListParagraph"/>
        <w:numPr>
          <w:ilvl w:val="0"/>
          <w:numId w:val="1"/>
        </w:numPr>
        <w:rPr>
          <w:bCs/>
          <w:sz w:val="24"/>
          <w:szCs w:val="24"/>
        </w:rPr>
      </w:pPr>
      <w:r w:rsidRPr="00283590">
        <w:rPr>
          <w:bCs/>
          <w:sz w:val="24"/>
          <w:szCs w:val="24"/>
        </w:rPr>
        <w:t>Tax and Tax Policy Updates</w:t>
      </w:r>
    </w:p>
    <w:p w14:paraId="11508FAA" w14:textId="3FAAC237" w:rsidR="00FD14F7" w:rsidRPr="00283590" w:rsidRDefault="00FD14F7" w:rsidP="006C141F">
      <w:pPr>
        <w:pStyle w:val="ListParagraph"/>
        <w:numPr>
          <w:ilvl w:val="0"/>
          <w:numId w:val="1"/>
        </w:numPr>
        <w:rPr>
          <w:bCs/>
          <w:sz w:val="24"/>
          <w:szCs w:val="24"/>
        </w:rPr>
      </w:pPr>
      <w:r>
        <w:rPr>
          <w:bCs/>
          <w:sz w:val="24"/>
          <w:szCs w:val="24"/>
        </w:rPr>
        <w:t xml:space="preserve">KPMG updates on FERC/SEC </w:t>
      </w:r>
    </w:p>
    <w:p w14:paraId="50C6D034" w14:textId="0EBAB367" w:rsidR="00056C0C" w:rsidRDefault="00056C0C" w:rsidP="00056C0C">
      <w:pPr>
        <w:rPr>
          <w:b/>
          <w:sz w:val="24"/>
          <w:szCs w:val="24"/>
        </w:rPr>
      </w:pPr>
    </w:p>
    <w:p w14:paraId="54984572" w14:textId="30FD69A8" w:rsidR="006C141F" w:rsidRDefault="006C141F" w:rsidP="006C141F">
      <w:pPr>
        <w:rPr>
          <w:b/>
          <w:sz w:val="24"/>
          <w:szCs w:val="24"/>
        </w:rPr>
      </w:pPr>
      <w:r>
        <w:rPr>
          <w:b/>
          <w:sz w:val="24"/>
          <w:szCs w:val="24"/>
        </w:rPr>
        <w:t>Thursday – Closed Session</w:t>
      </w:r>
    </w:p>
    <w:p w14:paraId="04CB1FD0" w14:textId="7591DB24" w:rsidR="006C141F" w:rsidRPr="00283590" w:rsidRDefault="006C141F" w:rsidP="006C141F">
      <w:pPr>
        <w:pStyle w:val="ListParagraph"/>
        <w:numPr>
          <w:ilvl w:val="0"/>
          <w:numId w:val="2"/>
        </w:numPr>
        <w:rPr>
          <w:bCs/>
          <w:sz w:val="24"/>
          <w:szCs w:val="24"/>
        </w:rPr>
      </w:pPr>
      <w:r w:rsidRPr="00283590">
        <w:rPr>
          <w:bCs/>
          <w:sz w:val="24"/>
          <w:szCs w:val="24"/>
        </w:rPr>
        <w:t>Legislative Update</w:t>
      </w:r>
    </w:p>
    <w:p w14:paraId="7790EFEE" w14:textId="09A69D0E" w:rsidR="005B6452" w:rsidRPr="00283590" w:rsidRDefault="005B6452" w:rsidP="006C141F">
      <w:pPr>
        <w:pStyle w:val="ListParagraph"/>
        <w:numPr>
          <w:ilvl w:val="0"/>
          <w:numId w:val="2"/>
        </w:numPr>
        <w:rPr>
          <w:bCs/>
          <w:sz w:val="24"/>
          <w:szCs w:val="24"/>
        </w:rPr>
      </w:pPr>
      <w:r w:rsidRPr="00283590">
        <w:rPr>
          <w:bCs/>
          <w:sz w:val="24"/>
          <w:szCs w:val="24"/>
        </w:rPr>
        <w:t xml:space="preserve">Hot Topics at the </w:t>
      </w:r>
      <w:r w:rsidR="00FE07FA">
        <w:rPr>
          <w:bCs/>
          <w:sz w:val="24"/>
          <w:szCs w:val="24"/>
        </w:rPr>
        <w:t>North Carolina</w:t>
      </w:r>
      <w:r w:rsidRPr="00283590">
        <w:rPr>
          <w:bCs/>
          <w:sz w:val="24"/>
          <w:szCs w:val="24"/>
        </w:rPr>
        <w:t xml:space="preserve"> Commission</w:t>
      </w:r>
    </w:p>
    <w:p w14:paraId="531D8309" w14:textId="66D3BF79" w:rsidR="000A7EF7" w:rsidRPr="00283590" w:rsidRDefault="000A7EF7" w:rsidP="006C141F">
      <w:pPr>
        <w:pStyle w:val="ListParagraph"/>
        <w:numPr>
          <w:ilvl w:val="0"/>
          <w:numId w:val="2"/>
        </w:numPr>
        <w:rPr>
          <w:bCs/>
          <w:sz w:val="24"/>
          <w:szCs w:val="24"/>
        </w:rPr>
      </w:pPr>
      <w:r w:rsidRPr="00283590">
        <w:rPr>
          <w:bCs/>
          <w:sz w:val="24"/>
          <w:szCs w:val="24"/>
        </w:rPr>
        <w:t>Water USoA Update</w:t>
      </w:r>
    </w:p>
    <w:p w14:paraId="75C80BB5" w14:textId="5B60BA11" w:rsidR="006C141F" w:rsidRPr="00283590" w:rsidRDefault="006C141F" w:rsidP="006C141F">
      <w:pPr>
        <w:pStyle w:val="ListParagraph"/>
        <w:numPr>
          <w:ilvl w:val="0"/>
          <w:numId w:val="2"/>
        </w:numPr>
        <w:rPr>
          <w:bCs/>
          <w:sz w:val="24"/>
          <w:szCs w:val="24"/>
        </w:rPr>
      </w:pPr>
      <w:r w:rsidRPr="00283590">
        <w:rPr>
          <w:bCs/>
          <w:sz w:val="24"/>
          <w:szCs w:val="24"/>
        </w:rPr>
        <w:t>Summary of Staff Subcommittee Surveys</w:t>
      </w:r>
    </w:p>
    <w:p w14:paraId="7E0916CE" w14:textId="3053F920" w:rsidR="006C141F" w:rsidRDefault="006C141F" w:rsidP="006C141F">
      <w:pPr>
        <w:pStyle w:val="ListParagraph"/>
        <w:numPr>
          <w:ilvl w:val="0"/>
          <w:numId w:val="2"/>
        </w:numPr>
        <w:rPr>
          <w:bCs/>
          <w:sz w:val="24"/>
          <w:szCs w:val="24"/>
        </w:rPr>
      </w:pPr>
      <w:r w:rsidRPr="00283590">
        <w:rPr>
          <w:bCs/>
          <w:sz w:val="24"/>
          <w:szCs w:val="24"/>
        </w:rPr>
        <w:t>Upcoming Conference Topics</w:t>
      </w:r>
    </w:p>
    <w:p w14:paraId="20890603" w14:textId="6FB25DCF" w:rsidR="00666373" w:rsidRDefault="00666373" w:rsidP="00666373">
      <w:pPr>
        <w:rPr>
          <w:bCs/>
          <w:sz w:val="24"/>
          <w:szCs w:val="24"/>
        </w:rPr>
      </w:pPr>
    </w:p>
    <w:p w14:paraId="0B3F952E" w14:textId="77777777" w:rsidR="00180094" w:rsidRDefault="00180094" w:rsidP="00180094">
      <w:pPr>
        <w:adjustRightInd w:val="0"/>
        <w:rPr>
          <w:b/>
          <w:color w:val="000000"/>
          <w:sz w:val="24"/>
          <w:szCs w:val="24"/>
        </w:rPr>
      </w:pPr>
      <w:r w:rsidRPr="00951C0D">
        <w:rPr>
          <w:b/>
          <w:color w:val="000000"/>
          <w:sz w:val="24"/>
          <w:szCs w:val="24"/>
        </w:rPr>
        <w:t>LEARNING OBJECTIVES:</w:t>
      </w:r>
    </w:p>
    <w:p w14:paraId="214AC15B" w14:textId="77777777" w:rsidR="00180094" w:rsidRPr="00951C0D" w:rsidRDefault="00180094" w:rsidP="00180094">
      <w:pPr>
        <w:adjustRightInd w:val="0"/>
        <w:rPr>
          <w:b/>
          <w:color w:val="000000"/>
          <w:sz w:val="24"/>
          <w:szCs w:val="24"/>
        </w:rPr>
      </w:pPr>
    </w:p>
    <w:p w14:paraId="4BE88A03" w14:textId="2C143A58" w:rsidR="00180094" w:rsidRDefault="00180094" w:rsidP="00180094">
      <w:pPr>
        <w:adjustRightInd w:val="0"/>
        <w:rPr>
          <w:color w:val="000000"/>
          <w:sz w:val="18"/>
          <w:szCs w:val="18"/>
        </w:rPr>
      </w:pPr>
      <w:r w:rsidRPr="002E78AB">
        <w:rPr>
          <w:color w:val="000000"/>
          <w:sz w:val="18"/>
          <w:szCs w:val="18"/>
        </w:rPr>
        <w:t xml:space="preserve">After completion of this conference, you will be able to: </w:t>
      </w:r>
    </w:p>
    <w:p w14:paraId="330379A5" w14:textId="77777777" w:rsidR="00180094" w:rsidRPr="002E78AB" w:rsidRDefault="00180094" w:rsidP="00180094">
      <w:pPr>
        <w:adjustRightInd w:val="0"/>
        <w:rPr>
          <w:color w:val="000000"/>
          <w:sz w:val="18"/>
          <w:szCs w:val="18"/>
        </w:rPr>
      </w:pPr>
    </w:p>
    <w:p w14:paraId="6F53821A" w14:textId="77777777" w:rsidR="00180094" w:rsidRDefault="00180094" w:rsidP="00180094">
      <w:pPr>
        <w:pStyle w:val="ListParagraph"/>
        <w:widowControl/>
        <w:numPr>
          <w:ilvl w:val="0"/>
          <w:numId w:val="6"/>
        </w:numPr>
        <w:adjustRightInd w:val="0"/>
        <w:contextualSpacing/>
        <w:rPr>
          <w:color w:val="000000"/>
          <w:sz w:val="18"/>
          <w:szCs w:val="18"/>
        </w:rPr>
      </w:pPr>
      <w:r w:rsidRPr="002E78AB">
        <w:rPr>
          <w:color w:val="000000"/>
          <w:sz w:val="18"/>
          <w:szCs w:val="18"/>
        </w:rPr>
        <w:t xml:space="preserve">Identify the current accounting initiatives, </w:t>
      </w:r>
      <w:proofErr w:type="gramStart"/>
      <w:r w:rsidRPr="002E78AB">
        <w:rPr>
          <w:color w:val="000000"/>
          <w:sz w:val="18"/>
          <w:szCs w:val="18"/>
        </w:rPr>
        <w:t>standards</w:t>
      </w:r>
      <w:proofErr w:type="gramEnd"/>
      <w:r w:rsidRPr="002E78AB">
        <w:rPr>
          <w:color w:val="000000"/>
          <w:sz w:val="18"/>
          <w:szCs w:val="18"/>
        </w:rPr>
        <w:t xml:space="preserve"> and projects at FASB relevant to utilities.</w:t>
      </w:r>
    </w:p>
    <w:p w14:paraId="71B3233E" w14:textId="7FEAD73D" w:rsidR="00180094" w:rsidRDefault="00180094" w:rsidP="00180094">
      <w:pPr>
        <w:pStyle w:val="ListParagraph"/>
        <w:widowControl/>
        <w:numPr>
          <w:ilvl w:val="0"/>
          <w:numId w:val="6"/>
        </w:numPr>
        <w:adjustRightInd w:val="0"/>
        <w:contextualSpacing/>
        <w:rPr>
          <w:color w:val="000000"/>
          <w:sz w:val="18"/>
          <w:szCs w:val="18"/>
        </w:rPr>
      </w:pPr>
      <w:r>
        <w:rPr>
          <w:color w:val="000000"/>
          <w:sz w:val="18"/>
          <w:szCs w:val="18"/>
        </w:rPr>
        <w:t xml:space="preserve">Understand the </w:t>
      </w:r>
      <w:r w:rsidR="00A67014">
        <w:rPr>
          <w:color w:val="000000"/>
          <w:sz w:val="18"/>
          <w:szCs w:val="18"/>
        </w:rPr>
        <w:t>current issues at the FERC from the Office of Chief Accountant</w:t>
      </w:r>
    </w:p>
    <w:p w14:paraId="1780F752" w14:textId="21A4C5E7" w:rsidR="00017C85" w:rsidRDefault="00017C85" w:rsidP="00180094">
      <w:pPr>
        <w:pStyle w:val="ListParagraph"/>
        <w:widowControl/>
        <w:numPr>
          <w:ilvl w:val="0"/>
          <w:numId w:val="6"/>
        </w:numPr>
        <w:adjustRightInd w:val="0"/>
        <w:contextualSpacing/>
        <w:rPr>
          <w:color w:val="000000"/>
          <w:sz w:val="18"/>
          <w:szCs w:val="18"/>
        </w:rPr>
      </w:pPr>
      <w:r w:rsidRPr="002E78AB">
        <w:rPr>
          <w:color w:val="000000"/>
          <w:sz w:val="18"/>
          <w:szCs w:val="18"/>
        </w:rPr>
        <w:t>Identify the characteristics of programs funded by the Rural Utilities Service</w:t>
      </w:r>
      <w:r w:rsidR="005E3285">
        <w:rPr>
          <w:color w:val="000000"/>
          <w:sz w:val="18"/>
          <w:szCs w:val="18"/>
        </w:rPr>
        <w:t xml:space="preserve"> and other current </w:t>
      </w:r>
      <w:proofErr w:type="gramStart"/>
      <w:r w:rsidR="005E3285">
        <w:rPr>
          <w:color w:val="000000"/>
          <w:sz w:val="18"/>
          <w:szCs w:val="18"/>
        </w:rPr>
        <w:t>issues</w:t>
      </w:r>
      <w:proofErr w:type="gramEnd"/>
    </w:p>
    <w:p w14:paraId="005BEED9" w14:textId="1C34350D" w:rsidR="00180094" w:rsidRDefault="00180094" w:rsidP="00180094">
      <w:pPr>
        <w:pStyle w:val="ListParagraph"/>
        <w:widowControl/>
        <w:numPr>
          <w:ilvl w:val="0"/>
          <w:numId w:val="6"/>
        </w:numPr>
        <w:adjustRightInd w:val="0"/>
        <w:contextualSpacing/>
        <w:rPr>
          <w:color w:val="000000"/>
          <w:sz w:val="18"/>
          <w:szCs w:val="18"/>
        </w:rPr>
      </w:pPr>
      <w:r>
        <w:rPr>
          <w:color w:val="000000"/>
          <w:sz w:val="18"/>
          <w:szCs w:val="18"/>
        </w:rPr>
        <w:t xml:space="preserve">Understand </w:t>
      </w:r>
      <w:r w:rsidR="00607597">
        <w:rPr>
          <w:color w:val="000000"/>
          <w:sz w:val="18"/>
          <w:szCs w:val="18"/>
        </w:rPr>
        <w:t>Virtual Power Plants</w:t>
      </w:r>
      <w:r w:rsidR="005E3285">
        <w:rPr>
          <w:color w:val="000000"/>
          <w:sz w:val="18"/>
          <w:szCs w:val="18"/>
        </w:rPr>
        <w:t xml:space="preserve"> </w:t>
      </w:r>
    </w:p>
    <w:p w14:paraId="69D0DD56" w14:textId="77777777" w:rsidR="00180094" w:rsidRPr="002E78AB" w:rsidRDefault="00180094" w:rsidP="00180094">
      <w:pPr>
        <w:pStyle w:val="ListParagraph"/>
        <w:widowControl/>
        <w:numPr>
          <w:ilvl w:val="0"/>
          <w:numId w:val="6"/>
        </w:numPr>
        <w:adjustRightInd w:val="0"/>
        <w:contextualSpacing/>
        <w:rPr>
          <w:color w:val="000000"/>
          <w:sz w:val="18"/>
          <w:szCs w:val="18"/>
        </w:rPr>
      </w:pPr>
      <w:r w:rsidRPr="002E78AB">
        <w:rPr>
          <w:color w:val="000000"/>
          <w:sz w:val="18"/>
          <w:szCs w:val="18"/>
        </w:rPr>
        <w:t xml:space="preserve">Understand </w:t>
      </w:r>
      <w:r>
        <w:rPr>
          <w:color w:val="000000"/>
          <w:sz w:val="18"/>
          <w:szCs w:val="18"/>
        </w:rPr>
        <w:t>emerging issues in the natural gas industry.</w:t>
      </w:r>
    </w:p>
    <w:p w14:paraId="21008C28" w14:textId="095E22F8" w:rsidR="00180094" w:rsidRPr="00F37879" w:rsidRDefault="005E3285" w:rsidP="008209ED">
      <w:pPr>
        <w:pStyle w:val="ListParagraph"/>
        <w:widowControl/>
        <w:numPr>
          <w:ilvl w:val="0"/>
          <w:numId w:val="6"/>
        </w:numPr>
        <w:adjustRightInd w:val="0"/>
        <w:contextualSpacing/>
        <w:rPr>
          <w:color w:val="000000"/>
          <w:sz w:val="18"/>
          <w:szCs w:val="18"/>
        </w:rPr>
      </w:pPr>
      <w:r>
        <w:rPr>
          <w:color w:val="000000"/>
          <w:sz w:val="18"/>
          <w:szCs w:val="18"/>
        </w:rPr>
        <w:t xml:space="preserve">Understand the </w:t>
      </w:r>
      <w:r w:rsidR="00C5002A">
        <w:rPr>
          <w:color w:val="000000"/>
          <w:sz w:val="18"/>
          <w:szCs w:val="18"/>
        </w:rPr>
        <w:t xml:space="preserve">interaction between net zero and </w:t>
      </w:r>
      <w:proofErr w:type="gramStart"/>
      <w:r w:rsidR="00C5002A">
        <w:rPr>
          <w:color w:val="000000"/>
          <w:sz w:val="18"/>
          <w:szCs w:val="18"/>
        </w:rPr>
        <w:t>nature</w:t>
      </w:r>
      <w:proofErr w:type="gramEnd"/>
    </w:p>
    <w:p w14:paraId="2D0D9667" w14:textId="77777777" w:rsidR="00180094" w:rsidRDefault="00180094" w:rsidP="00180094">
      <w:pPr>
        <w:pStyle w:val="ListParagraph"/>
        <w:widowControl/>
        <w:numPr>
          <w:ilvl w:val="0"/>
          <w:numId w:val="6"/>
        </w:numPr>
        <w:adjustRightInd w:val="0"/>
        <w:contextualSpacing/>
        <w:rPr>
          <w:color w:val="000000"/>
          <w:sz w:val="18"/>
          <w:szCs w:val="18"/>
        </w:rPr>
      </w:pPr>
      <w:r>
        <w:rPr>
          <w:color w:val="000000"/>
          <w:sz w:val="18"/>
          <w:szCs w:val="18"/>
        </w:rPr>
        <w:t>Understand the requirements for regulatory deferred tax accounting, what they are and how they are treated.</w:t>
      </w:r>
    </w:p>
    <w:p w14:paraId="739CDA32" w14:textId="77777777" w:rsidR="00180094" w:rsidRPr="002E78AB" w:rsidRDefault="00180094" w:rsidP="00180094">
      <w:pPr>
        <w:pStyle w:val="ListParagraph"/>
        <w:widowControl/>
        <w:numPr>
          <w:ilvl w:val="0"/>
          <w:numId w:val="6"/>
        </w:numPr>
        <w:adjustRightInd w:val="0"/>
        <w:contextualSpacing/>
        <w:rPr>
          <w:color w:val="000000"/>
          <w:sz w:val="18"/>
          <w:szCs w:val="18"/>
        </w:rPr>
      </w:pPr>
      <w:r w:rsidRPr="002E78AB">
        <w:rPr>
          <w:color w:val="000000"/>
          <w:sz w:val="18"/>
          <w:szCs w:val="18"/>
        </w:rPr>
        <w:t>Identify U.S. legislative issues relevant to utilities and regulators.</w:t>
      </w:r>
    </w:p>
    <w:p w14:paraId="636BA86C" w14:textId="02789E61" w:rsidR="00180094" w:rsidRDefault="00180094" w:rsidP="00180094">
      <w:pPr>
        <w:pStyle w:val="ListParagraph"/>
        <w:widowControl/>
        <w:numPr>
          <w:ilvl w:val="0"/>
          <w:numId w:val="6"/>
        </w:numPr>
        <w:adjustRightInd w:val="0"/>
        <w:contextualSpacing/>
        <w:rPr>
          <w:color w:val="000000"/>
          <w:sz w:val="18"/>
          <w:szCs w:val="18"/>
        </w:rPr>
      </w:pPr>
      <w:r w:rsidRPr="002E78AB">
        <w:rPr>
          <w:color w:val="000000"/>
          <w:sz w:val="18"/>
          <w:szCs w:val="18"/>
        </w:rPr>
        <w:t xml:space="preserve">List current regulatory issues before the </w:t>
      </w:r>
      <w:r w:rsidR="005B1450">
        <w:rPr>
          <w:color w:val="000000"/>
          <w:sz w:val="18"/>
          <w:szCs w:val="18"/>
        </w:rPr>
        <w:t>North Carolina Public Utilities Commission</w:t>
      </w:r>
      <w:r w:rsidRPr="002E78AB">
        <w:rPr>
          <w:color w:val="000000"/>
          <w:sz w:val="18"/>
          <w:szCs w:val="18"/>
        </w:rPr>
        <w:t xml:space="preserve">. </w:t>
      </w:r>
    </w:p>
    <w:p w14:paraId="29947424" w14:textId="77777777" w:rsidR="00180094" w:rsidRDefault="00180094" w:rsidP="00180094">
      <w:pPr>
        <w:adjustRightInd w:val="0"/>
        <w:rPr>
          <w:b/>
          <w:color w:val="000000"/>
          <w:sz w:val="24"/>
          <w:szCs w:val="24"/>
        </w:rPr>
      </w:pPr>
    </w:p>
    <w:p w14:paraId="68AA5F22" w14:textId="77777777" w:rsidR="002974DC" w:rsidRDefault="002974DC" w:rsidP="00180094">
      <w:pPr>
        <w:adjustRightInd w:val="0"/>
        <w:rPr>
          <w:b/>
          <w:color w:val="000000"/>
          <w:sz w:val="24"/>
          <w:szCs w:val="24"/>
        </w:rPr>
      </w:pPr>
    </w:p>
    <w:p w14:paraId="720223BF" w14:textId="77777777" w:rsidR="002974DC" w:rsidRDefault="002974DC" w:rsidP="00180094">
      <w:pPr>
        <w:adjustRightInd w:val="0"/>
        <w:rPr>
          <w:b/>
          <w:color w:val="000000"/>
          <w:sz w:val="24"/>
          <w:szCs w:val="24"/>
        </w:rPr>
      </w:pPr>
    </w:p>
    <w:p w14:paraId="57F6D7EB" w14:textId="77777777" w:rsidR="002974DC" w:rsidRDefault="002974DC" w:rsidP="00180094">
      <w:pPr>
        <w:adjustRightInd w:val="0"/>
        <w:rPr>
          <w:b/>
          <w:color w:val="000000"/>
          <w:sz w:val="24"/>
          <w:szCs w:val="24"/>
        </w:rPr>
      </w:pPr>
    </w:p>
    <w:p w14:paraId="3F3851D5" w14:textId="57223FCF" w:rsidR="00180094" w:rsidRDefault="00180094" w:rsidP="00180094">
      <w:pPr>
        <w:adjustRightInd w:val="0"/>
        <w:rPr>
          <w:b/>
          <w:color w:val="000000"/>
          <w:sz w:val="24"/>
          <w:szCs w:val="24"/>
        </w:rPr>
      </w:pPr>
      <w:r w:rsidRPr="00951C0D">
        <w:rPr>
          <w:b/>
          <w:color w:val="000000"/>
          <w:sz w:val="24"/>
          <w:szCs w:val="24"/>
        </w:rPr>
        <w:t>CPE CREDITS</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7"/>
        <w:gridCol w:w="360"/>
      </w:tblGrid>
      <w:tr w:rsidR="00180094" w:rsidRPr="002E78AB" w14:paraId="3B485409" w14:textId="77777777" w:rsidTr="008E6903">
        <w:trPr>
          <w:trHeight w:val="895"/>
        </w:trPr>
        <w:tc>
          <w:tcPr>
            <w:tcW w:w="8577" w:type="dxa"/>
            <w:tcBorders>
              <w:top w:val="nil"/>
              <w:left w:val="nil"/>
              <w:bottom w:val="nil"/>
              <w:right w:val="nil"/>
            </w:tcBorders>
          </w:tcPr>
          <w:p w14:paraId="41337054" w14:textId="77777777" w:rsidR="00A6044F" w:rsidRDefault="00A6044F" w:rsidP="00A6044F">
            <w:pPr>
              <w:adjustRightInd w:val="0"/>
              <w:ind w:left="1440"/>
              <w:jc w:val="both"/>
              <w:rPr>
                <w:color w:val="000000"/>
                <w:sz w:val="18"/>
                <w:szCs w:val="18"/>
              </w:rPr>
            </w:pPr>
            <w:r w:rsidRPr="002E78AB">
              <w:rPr>
                <w:color w:val="000000"/>
                <w:sz w:val="18"/>
                <w:szCs w:val="18"/>
              </w:rPr>
              <w:t>This conference provides a general review of new accounting pronouncements and issues that affect regulated utilities. The conference presentation method is group-</w:t>
            </w:r>
            <w:proofErr w:type="gramStart"/>
            <w:r w:rsidRPr="002E78AB">
              <w:rPr>
                <w:color w:val="000000"/>
                <w:sz w:val="18"/>
                <w:szCs w:val="18"/>
              </w:rPr>
              <w:t>live</w:t>
            </w:r>
            <w:proofErr w:type="gramEnd"/>
            <w:r w:rsidRPr="002E78AB">
              <w:rPr>
                <w:color w:val="000000"/>
                <w:sz w:val="18"/>
                <w:szCs w:val="18"/>
              </w:rPr>
              <w:t xml:space="preserve"> and the course level is intermediate. Prerequisite: Background in Accounting and Regulatory Issues. There is no advance preparation needed for this conference. The National Association of Regulatory Utility Commissioners (NARUC)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w:t>
            </w:r>
            <w:r>
              <w:rPr>
                <w:rFonts w:ascii="Arial" w:hAnsi="Arial" w:cs="Arial"/>
                <w:color w:val="000000"/>
                <w:sz w:val="21"/>
                <w:szCs w:val="21"/>
              </w:rPr>
              <w:t xml:space="preserve"> </w:t>
            </w:r>
            <w:hyperlink r:id="rId10" w:history="1">
              <w:r w:rsidRPr="00C45574">
                <w:rPr>
                  <w:rStyle w:val="Hyperlink"/>
                </w:rPr>
                <w:t>www.nasbaregistry.org</w:t>
              </w:r>
            </w:hyperlink>
            <w:r>
              <w:rPr>
                <w:color w:val="000000"/>
                <w:sz w:val="18"/>
                <w:szCs w:val="18"/>
              </w:rPr>
              <w:t>.</w:t>
            </w:r>
            <w:r w:rsidRPr="002E78AB">
              <w:rPr>
                <w:color w:val="000000"/>
                <w:sz w:val="18"/>
                <w:szCs w:val="18"/>
              </w:rPr>
              <w:t xml:space="preserve"> </w:t>
            </w:r>
          </w:p>
          <w:p w14:paraId="6EA84087" w14:textId="4FEB89E1" w:rsidR="00180094" w:rsidRPr="002E78AB" w:rsidRDefault="00A6044F" w:rsidP="008E6903">
            <w:pPr>
              <w:adjustRightInd w:val="0"/>
              <w:ind w:left="720"/>
              <w:jc w:val="both"/>
              <w:rPr>
                <w:color w:val="000000"/>
                <w:sz w:val="18"/>
                <w:szCs w:val="18"/>
              </w:rPr>
            </w:pPr>
            <w:r w:rsidRPr="002E78AB">
              <w:rPr>
                <w:noProof/>
                <w:sz w:val="18"/>
                <w:szCs w:val="18"/>
              </w:rPr>
              <w:drawing>
                <wp:anchor distT="0" distB="0" distL="114300" distR="114300" simplePos="0" relativeHeight="251661312" behindDoc="0" locked="0" layoutInCell="1" allowOverlap="1" wp14:anchorId="1486BB12" wp14:editId="3DC1C017">
                  <wp:simplePos x="0" y="0"/>
                  <wp:positionH relativeFrom="margin">
                    <wp:posOffset>68239</wp:posOffset>
                  </wp:positionH>
                  <wp:positionV relativeFrom="margin">
                    <wp:posOffset>84966</wp:posOffset>
                  </wp:positionV>
                  <wp:extent cx="765175" cy="7226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175" cy="722630"/>
                          </a:xfrm>
                          <a:prstGeom prst="rect">
                            <a:avLst/>
                          </a:prstGeom>
                          <a:noFill/>
                          <a:ln>
                            <a:noFill/>
                          </a:ln>
                        </pic:spPr>
                      </pic:pic>
                    </a:graphicData>
                  </a:graphic>
                  <wp14:sizeRelV relativeFrom="margin">
                    <wp14:pctHeight>0</wp14:pctHeight>
                  </wp14:sizeRelV>
                </wp:anchor>
              </w:drawing>
            </w:r>
          </w:p>
        </w:tc>
        <w:tc>
          <w:tcPr>
            <w:tcW w:w="360" w:type="dxa"/>
          </w:tcPr>
          <w:p w14:paraId="47C06750" w14:textId="77777777" w:rsidR="00180094" w:rsidRPr="002E78AB" w:rsidRDefault="00180094" w:rsidP="008E6903">
            <w:pPr>
              <w:rPr>
                <w:sz w:val="18"/>
                <w:szCs w:val="18"/>
              </w:rPr>
            </w:pPr>
            <w:r w:rsidRPr="002E78AB">
              <w:rPr>
                <w:sz w:val="18"/>
                <w:szCs w:val="18"/>
              </w:rPr>
              <w:t xml:space="preserve"> </w:t>
            </w:r>
          </w:p>
        </w:tc>
      </w:tr>
      <w:tr w:rsidR="00180094" w:rsidRPr="002E78AB" w14:paraId="3541A496" w14:textId="77777777" w:rsidTr="008E6903">
        <w:trPr>
          <w:trHeight w:val="895"/>
        </w:trPr>
        <w:tc>
          <w:tcPr>
            <w:tcW w:w="8577" w:type="dxa"/>
            <w:tcBorders>
              <w:top w:val="nil"/>
              <w:left w:val="nil"/>
              <w:bottom w:val="nil"/>
              <w:right w:val="nil"/>
            </w:tcBorders>
          </w:tcPr>
          <w:p w14:paraId="60CCAD4B" w14:textId="13DEFE0D" w:rsidR="00180094" w:rsidRPr="002E78AB" w:rsidRDefault="00A6044F" w:rsidP="00A6044F">
            <w:pPr>
              <w:adjustRightInd w:val="0"/>
              <w:ind w:left="1440"/>
              <w:jc w:val="both"/>
              <w:rPr>
                <w:color w:val="000000"/>
                <w:sz w:val="18"/>
                <w:szCs w:val="18"/>
              </w:rPr>
            </w:pPr>
            <w:r w:rsidRPr="002E78AB">
              <w:rPr>
                <w:color w:val="000000"/>
                <w:sz w:val="18"/>
                <w:szCs w:val="18"/>
              </w:rPr>
              <w:t>AICPA/NASBA guidelines for CPE credits are based on a 50-minute credit hour in qualifying NASBA CPE subject areas; one credit equals 50 minutes. All breaks and lunches are omitted from the total CPE minutes. Historically, participants that attend all sessions of the program earn an average of 5 CPE hours in the accounting field of study and 18 CPE hours in the specialized knowledge field of study. Based on previous experience, 19 to 21 hours of CPE credits will be available to participants attending the open sessions, with an additional 2 to 3 hours available in the closed sessions. Final CPE earned will be determined based on the length of participation in the program as evidenced through completed attendance forms for each session attended.</w:t>
            </w:r>
          </w:p>
          <w:p w14:paraId="2720EFCA" w14:textId="5A69473E" w:rsidR="003C679A" w:rsidRPr="002E78AB" w:rsidRDefault="003C679A" w:rsidP="008E6903">
            <w:pPr>
              <w:adjustRightInd w:val="0"/>
              <w:ind w:left="1440"/>
              <w:jc w:val="both"/>
              <w:rPr>
                <w:color w:val="000000"/>
                <w:sz w:val="18"/>
                <w:szCs w:val="18"/>
              </w:rPr>
            </w:pPr>
          </w:p>
        </w:tc>
        <w:tc>
          <w:tcPr>
            <w:tcW w:w="360" w:type="dxa"/>
          </w:tcPr>
          <w:p w14:paraId="359BCE2F" w14:textId="77777777" w:rsidR="00180094" w:rsidRPr="002E78AB" w:rsidRDefault="00180094" w:rsidP="008E6903">
            <w:pPr>
              <w:rPr>
                <w:sz w:val="18"/>
                <w:szCs w:val="18"/>
              </w:rPr>
            </w:pPr>
            <w:r w:rsidRPr="002E78AB">
              <w:rPr>
                <w:sz w:val="18"/>
                <w:szCs w:val="18"/>
              </w:rPr>
              <w:t xml:space="preserve"> </w:t>
            </w:r>
          </w:p>
        </w:tc>
      </w:tr>
    </w:tbl>
    <w:p w14:paraId="3253DB38" w14:textId="77777777" w:rsidR="00180094" w:rsidRPr="002E78AB" w:rsidRDefault="00180094" w:rsidP="00180094">
      <w:pPr>
        <w:jc w:val="center"/>
        <w:rPr>
          <w:color w:val="FF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5101"/>
        <w:gridCol w:w="5101"/>
      </w:tblGrid>
      <w:tr w:rsidR="00180094" w:rsidRPr="002E78AB" w14:paraId="183759C7" w14:textId="77777777" w:rsidTr="008E6903">
        <w:trPr>
          <w:trHeight w:val="671"/>
        </w:trPr>
        <w:tc>
          <w:tcPr>
            <w:tcW w:w="5101" w:type="dxa"/>
          </w:tcPr>
          <w:p w14:paraId="560DCD2F" w14:textId="77777777" w:rsidR="00180094" w:rsidRPr="00951C0D" w:rsidRDefault="00180094" w:rsidP="008E6903">
            <w:pPr>
              <w:adjustRightInd w:val="0"/>
              <w:rPr>
                <w:color w:val="000000"/>
                <w:sz w:val="24"/>
                <w:szCs w:val="24"/>
              </w:rPr>
            </w:pPr>
            <w:r w:rsidRPr="00951C0D">
              <w:rPr>
                <w:color w:val="000000"/>
                <w:sz w:val="24"/>
                <w:szCs w:val="24"/>
              </w:rPr>
              <w:t xml:space="preserve">Certificate of Continuing Regulatory Education Credits </w:t>
            </w:r>
          </w:p>
        </w:tc>
        <w:tc>
          <w:tcPr>
            <w:tcW w:w="5101" w:type="dxa"/>
          </w:tcPr>
          <w:p w14:paraId="6A8555BE" w14:textId="77777777" w:rsidR="00180094" w:rsidRPr="002E78AB" w:rsidRDefault="00180094" w:rsidP="008E6903">
            <w:pPr>
              <w:adjustRightInd w:val="0"/>
              <w:jc w:val="both"/>
              <w:rPr>
                <w:color w:val="212121"/>
                <w:sz w:val="18"/>
                <w:szCs w:val="18"/>
              </w:rPr>
            </w:pPr>
            <w:r w:rsidRPr="002E78AB">
              <w:rPr>
                <w:color w:val="212121"/>
                <w:sz w:val="18"/>
                <w:szCs w:val="18"/>
              </w:rPr>
              <w:t xml:space="preserve">For public and nonprofit sector employees, full attendance at the program will earn 20 credits toward a Certificate of Continuing Regulatory Education (CCRE) sponsored by the Institute of Public Utilities at Michigan State University and endorsed by the National Association of Regulatory Utility Commissioners. Credits may be earned for up to two programs hosted by the same professional organization and past attendance may be eligible. For program details, please visit </w:t>
            </w:r>
            <w:r w:rsidRPr="004F6D89">
              <w:rPr>
                <w:color w:val="0000FF"/>
                <w:sz w:val="18"/>
                <w:szCs w:val="18"/>
              </w:rPr>
              <w:t>ipu.msu.edu/CCRE</w:t>
            </w:r>
            <w:r w:rsidRPr="002E78AB">
              <w:rPr>
                <w:color w:val="1154CC"/>
                <w:sz w:val="18"/>
                <w:szCs w:val="18"/>
              </w:rPr>
              <w:t xml:space="preserve"> </w:t>
            </w:r>
            <w:r w:rsidRPr="002E78AB">
              <w:rPr>
                <w:color w:val="212121"/>
                <w:sz w:val="18"/>
                <w:szCs w:val="18"/>
              </w:rPr>
              <w:t xml:space="preserve">or contact </w:t>
            </w:r>
            <w:r w:rsidRPr="004F6D89">
              <w:rPr>
                <w:color w:val="0000FF"/>
                <w:sz w:val="18"/>
                <w:szCs w:val="18"/>
              </w:rPr>
              <w:t>ipu@msu.edu</w:t>
            </w:r>
            <w:r w:rsidRPr="002E78AB">
              <w:rPr>
                <w:color w:val="212121"/>
                <w:sz w:val="18"/>
                <w:szCs w:val="18"/>
              </w:rPr>
              <w:t xml:space="preserve">. </w:t>
            </w:r>
          </w:p>
        </w:tc>
      </w:tr>
    </w:tbl>
    <w:p w14:paraId="1E7BF585" w14:textId="77777777" w:rsidR="00180094" w:rsidRPr="002E78AB" w:rsidRDefault="00180094" w:rsidP="00180094">
      <w:pPr>
        <w:rPr>
          <w:color w:val="FF0000"/>
          <w:sz w:val="18"/>
          <w:szCs w:val="18"/>
        </w:rPr>
      </w:pPr>
    </w:p>
    <w:p w14:paraId="6A546D05" w14:textId="44E90A39" w:rsidR="00666373" w:rsidRDefault="00666373" w:rsidP="00666373">
      <w:pPr>
        <w:rPr>
          <w:bCs/>
          <w:sz w:val="24"/>
          <w:szCs w:val="24"/>
        </w:rPr>
      </w:pPr>
      <w:r w:rsidRPr="00666373">
        <w:rPr>
          <w:bCs/>
          <w:sz w:val="24"/>
          <w:szCs w:val="24"/>
        </w:rPr>
        <w:t>NARUC’s National Registry of CPE Sponsors Number is 103641</w:t>
      </w:r>
    </w:p>
    <w:p w14:paraId="7C3C7F46" w14:textId="77777777" w:rsidR="0026620D" w:rsidRDefault="0026620D" w:rsidP="00666373">
      <w:pPr>
        <w:rPr>
          <w:bCs/>
          <w:sz w:val="24"/>
          <w:szCs w:val="24"/>
        </w:rPr>
      </w:pPr>
    </w:p>
    <w:p w14:paraId="66FF6744" w14:textId="02226119" w:rsidR="0026620D" w:rsidRPr="009267C9" w:rsidRDefault="00886DB1" w:rsidP="00666373">
      <w:pPr>
        <w:rPr>
          <w:b/>
          <w:sz w:val="24"/>
          <w:szCs w:val="24"/>
        </w:rPr>
      </w:pPr>
      <w:r w:rsidRPr="009267C9">
        <w:rPr>
          <w:b/>
          <w:sz w:val="24"/>
          <w:szCs w:val="24"/>
        </w:rPr>
        <w:t>About</w:t>
      </w:r>
      <w:r w:rsidR="0026620D" w:rsidRPr="009267C9">
        <w:rPr>
          <w:b/>
          <w:sz w:val="24"/>
          <w:szCs w:val="24"/>
        </w:rPr>
        <w:t xml:space="preserve"> Asheville:</w:t>
      </w:r>
    </w:p>
    <w:p w14:paraId="4E8BD3A8" w14:textId="77777777" w:rsidR="00886DB1" w:rsidRDefault="00886DB1" w:rsidP="00666373">
      <w:pPr>
        <w:rPr>
          <w:bCs/>
          <w:sz w:val="24"/>
          <w:szCs w:val="24"/>
        </w:rPr>
      </w:pPr>
    </w:p>
    <w:p w14:paraId="730737F0" w14:textId="0959C4F1" w:rsidR="00886DB1" w:rsidRPr="001717C8" w:rsidRDefault="00886DB1" w:rsidP="001717C8">
      <w:pPr>
        <w:pStyle w:val="ListParagraph"/>
        <w:numPr>
          <w:ilvl w:val="0"/>
          <w:numId w:val="7"/>
        </w:numPr>
        <w:rPr>
          <w:bCs/>
          <w:sz w:val="24"/>
          <w:szCs w:val="24"/>
        </w:rPr>
      </w:pPr>
      <w:r w:rsidRPr="001717C8">
        <w:rPr>
          <w:bCs/>
          <w:sz w:val="24"/>
          <w:szCs w:val="24"/>
        </w:rPr>
        <w:t>Average Temperature in April</w:t>
      </w:r>
      <w:r w:rsidR="00361E91" w:rsidRPr="001717C8">
        <w:rPr>
          <w:bCs/>
          <w:sz w:val="24"/>
          <w:szCs w:val="24"/>
        </w:rPr>
        <w:t>: 68/46</w:t>
      </w:r>
    </w:p>
    <w:p w14:paraId="0B35847C" w14:textId="77777777" w:rsidR="00DE2C1B" w:rsidRDefault="00DE2C1B" w:rsidP="00666373">
      <w:pPr>
        <w:rPr>
          <w:bCs/>
          <w:sz w:val="24"/>
          <w:szCs w:val="24"/>
        </w:rPr>
      </w:pPr>
    </w:p>
    <w:p w14:paraId="3AEB7750" w14:textId="27C2EFD1" w:rsidR="00FD71E4" w:rsidRPr="001717C8" w:rsidRDefault="00DE2C1B" w:rsidP="001717C8">
      <w:pPr>
        <w:pStyle w:val="ListParagraph"/>
        <w:numPr>
          <w:ilvl w:val="0"/>
          <w:numId w:val="7"/>
        </w:numPr>
        <w:rPr>
          <w:bCs/>
          <w:sz w:val="24"/>
          <w:szCs w:val="24"/>
        </w:rPr>
      </w:pPr>
      <w:r w:rsidRPr="001717C8">
        <w:rPr>
          <w:bCs/>
          <w:sz w:val="24"/>
          <w:szCs w:val="24"/>
        </w:rPr>
        <w:t xml:space="preserve">The nearest airport to Asheville is Asheville (AVL) Airport which is 11.6 miles away. </w:t>
      </w:r>
      <w:r w:rsidR="00FD71E4" w:rsidRPr="001717C8">
        <w:rPr>
          <w:bCs/>
          <w:sz w:val="24"/>
          <w:szCs w:val="24"/>
        </w:rPr>
        <w:t>AVL is located just 12 miles from downtown, offers frequent nonstop flights daily to and from 26 destinations, including numerous international hubs, and is served by six airlines: Allegiant, American, Delta, JetBlue, Sun Country, and United.</w:t>
      </w:r>
    </w:p>
    <w:p w14:paraId="074CCA3B" w14:textId="77777777" w:rsidR="00FD71E4" w:rsidRDefault="00FD71E4" w:rsidP="00666373">
      <w:pPr>
        <w:rPr>
          <w:bCs/>
          <w:sz w:val="24"/>
          <w:szCs w:val="24"/>
        </w:rPr>
      </w:pPr>
    </w:p>
    <w:p w14:paraId="67AC1B12" w14:textId="764D1C8A" w:rsidR="00DE2C1B" w:rsidRDefault="00DE2C1B" w:rsidP="001717C8">
      <w:pPr>
        <w:ind w:left="720"/>
        <w:rPr>
          <w:bCs/>
          <w:sz w:val="24"/>
          <w:szCs w:val="24"/>
        </w:rPr>
      </w:pPr>
      <w:r w:rsidRPr="00DE2C1B">
        <w:rPr>
          <w:bCs/>
          <w:sz w:val="24"/>
          <w:szCs w:val="24"/>
        </w:rPr>
        <w:t>Other nearby airports include Greenville/Spartanburg (GSP) (52.9 miles), Knoxville (TYS) (82.3 miles) and Charlotte (CLT) (94.9 miles).</w:t>
      </w:r>
      <w:r w:rsidR="00FD71E4">
        <w:rPr>
          <w:bCs/>
          <w:sz w:val="24"/>
          <w:szCs w:val="24"/>
        </w:rPr>
        <w:t xml:space="preserve"> </w:t>
      </w:r>
    </w:p>
    <w:p w14:paraId="71AA1B43" w14:textId="77777777" w:rsidR="001717C8" w:rsidRDefault="001717C8" w:rsidP="00666373">
      <w:pPr>
        <w:rPr>
          <w:bCs/>
          <w:sz w:val="24"/>
          <w:szCs w:val="24"/>
        </w:rPr>
      </w:pPr>
    </w:p>
    <w:p w14:paraId="55360DF0" w14:textId="77777777" w:rsidR="001717C8" w:rsidRPr="001717C8" w:rsidRDefault="001717C8" w:rsidP="001717C8">
      <w:pPr>
        <w:pStyle w:val="ListParagraph"/>
        <w:numPr>
          <w:ilvl w:val="0"/>
          <w:numId w:val="7"/>
        </w:numPr>
        <w:rPr>
          <w:bCs/>
          <w:sz w:val="24"/>
          <w:szCs w:val="24"/>
        </w:rPr>
      </w:pPr>
      <w:r w:rsidRPr="001717C8">
        <w:rPr>
          <w:bCs/>
          <w:sz w:val="24"/>
          <w:szCs w:val="24"/>
        </w:rPr>
        <w:t>There will be a total solar eclipse on April 8, 2024, which will totally block out the sun from view.</w:t>
      </w:r>
    </w:p>
    <w:p w14:paraId="15C19B7D" w14:textId="77777777" w:rsidR="001717C8" w:rsidRPr="001717C8" w:rsidRDefault="001717C8" w:rsidP="001717C8">
      <w:pPr>
        <w:rPr>
          <w:bCs/>
          <w:sz w:val="24"/>
          <w:szCs w:val="24"/>
        </w:rPr>
      </w:pPr>
    </w:p>
    <w:p w14:paraId="55B16FBB" w14:textId="3F76C215" w:rsidR="001717C8" w:rsidRDefault="001717C8" w:rsidP="001717C8">
      <w:pPr>
        <w:ind w:left="720"/>
        <w:rPr>
          <w:bCs/>
          <w:sz w:val="24"/>
          <w:szCs w:val="24"/>
        </w:rPr>
      </w:pPr>
      <w:r w:rsidRPr="001717C8">
        <w:rPr>
          <w:bCs/>
          <w:sz w:val="24"/>
          <w:szCs w:val="24"/>
        </w:rPr>
        <w:t>April's total eclipse will occur from around 2-5 p.m., where the eclipse is expected to cover roughly 85% of the sun's disk in the Asheville area, according to Eclipse2024.</w:t>
      </w:r>
    </w:p>
    <w:p w14:paraId="4C8399F4" w14:textId="77777777" w:rsidR="0026620D" w:rsidRDefault="0026620D" w:rsidP="00666373">
      <w:pPr>
        <w:rPr>
          <w:bCs/>
          <w:sz w:val="24"/>
          <w:szCs w:val="24"/>
        </w:rPr>
      </w:pPr>
    </w:p>
    <w:p w14:paraId="64C6B48D" w14:textId="4388DEA1" w:rsidR="0026620D" w:rsidRPr="003F1934" w:rsidRDefault="009267C9" w:rsidP="0026620D">
      <w:pPr>
        <w:rPr>
          <w:rStyle w:val="Hyperlink"/>
          <w:sz w:val="20"/>
          <w:szCs w:val="20"/>
        </w:rPr>
      </w:pPr>
      <w:r>
        <w:rPr>
          <w:bCs/>
          <w:sz w:val="24"/>
          <w:szCs w:val="24"/>
        </w:rPr>
        <w:t xml:space="preserve">Explore Asheville website:   </w:t>
      </w:r>
      <w:hyperlink r:id="rId12" w:history="1">
        <w:r w:rsidR="0026620D" w:rsidRPr="007B1DA1">
          <w:rPr>
            <w:rStyle w:val="Hyperlink"/>
            <w:sz w:val="20"/>
            <w:szCs w:val="20"/>
          </w:rPr>
          <w:t>https://www.exploreasheville.com/</w:t>
        </w:r>
      </w:hyperlink>
      <w:r w:rsidR="0026620D">
        <w:rPr>
          <w:rStyle w:val="Hyperlink"/>
          <w:sz w:val="20"/>
          <w:szCs w:val="20"/>
        </w:rPr>
        <w:t xml:space="preserve"> </w:t>
      </w:r>
    </w:p>
    <w:p w14:paraId="36DA038B" w14:textId="77777777" w:rsidR="0026620D" w:rsidRPr="00666373" w:rsidRDefault="0026620D" w:rsidP="00666373">
      <w:pPr>
        <w:rPr>
          <w:bCs/>
          <w:sz w:val="24"/>
          <w:szCs w:val="24"/>
        </w:rPr>
      </w:pPr>
    </w:p>
    <w:sectPr w:rsidR="0026620D" w:rsidRPr="00666373" w:rsidSect="008601C1">
      <w:type w:val="continuous"/>
      <w:pgSz w:w="12240" w:h="15840"/>
      <w:pgMar w:top="1008" w:right="1296" w:bottom="27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3A96" w14:textId="77777777" w:rsidR="002A5F8E" w:rsidRDefault="002A5F8E" w:rsidP="00CF5224">
      <w:r>
        <w:separator/>
      </w:r>
    </w:p>
  </w:endnote>
  <w:endnote w:type="continuationSeparator" w:id="0">
    <w:p w14:paraId="671FE1DE" w14:textId="77777777" w:rsidR="002A5F8E" w:rsidRDefault="002A5F8E" w:rsidP="00CF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33DF" w14:textId="77777777" w:rsidR="002A5F8E" w:rsidRDefault="002A5F8E" w:rsidP="00CF5224">
      <w:r>
        <w:separator/>
      </w:r>
    </w:p>
  </w:footnote>
  <w:footnote w:type="continuationSeparator" w:id="0">
    <w:p w14:paraId="019640EE" w14:textId="77777777" w:rsidR="002A5F8E" w:rsidRDefault="002A5F8E" w:rsidP="00CF5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7A33"/>
    <w:multiLevelType w:val="hybridMultilevel"/>
    <w:tmpl w:val="84BC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35FC5"/>
    <w:multiLevelType w:val="hybridMultilevel"/>
    <w:tmpl w:val="AE40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97111"/>
    <w:multiLevelType w:val="hybridMultilevel"/>
    <w:tmpl w:val="D3D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4201D"/>
    <w:multiLevelType w:val="hybridMultilevel"/>
    <w:tmpl w:val="8F1A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22646"/>
    <w:multiLevelType w:val="hybridMultilevel"/>
    <w:tmpl w:val="29D2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F2ED9"/>
    <w:multiLevelType w:val="hybridMultilevel"/>
    <w:tmpl w:val="DD0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047CA"/>
    <w:multiLevelType w:val="hybridMultilevel"/>
    <w:tmpl w:val="C5F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529387">
    <w:abstractNumId w:val="1"/>
  </w:num>
  <w:num w:numId="2" w16cid:durableId="607009916">
    <w:abstractNumId w:val="2"/>
  </w:num>
  <w:num w:numId="3" w16cid:durableId="1123884547">
    <w:abstractNumId w:val="0"/>
  </w:num>
  <w:num w:numId="4" w16cid:durableId="1574656756">
    <w:abstractNumId w:val="6"/>
  </w:num>
  <w:num w:numId="5" w16cid:durableId="1689405005">
    <w:abstractNumId w:val="5"/>
  </w:num>
  <w:num w:numId="6" w16cid:durableId="685518908">
    <w:abstractNumId w:val="4"/>
  </w:num>
  <w:num w:numId="7" w16cid:durableId="1302350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2F"/>
    <w:rsid w:val="00007320"/>
    <w:rsid w:val="0001420B"/>
    <w:rsid w:val="00017C85"/>
    <w:rsid w:val="00026DBB"/>
    <w:rsid w:val="000278F6"/>
    <w:rsid w:val="00053676"/>
    <w:rsid w:val="00056C0C"/>
    <w:rsid w:val="00081B3A"/>
    <w:rsid w:val="000A6898"/>
    <w:rsid w:val="000A7EF7"/>
    <w:rsid w:val="000B1969"/>
    <w:rsid w:val="000B54D4"/>
    <w:rsid w:val="000B723B"/>
    <w:rsid w:val="000B7FE0"/>
    <w:rsid w:val="000C5DB9"/>
    <w:rsid w:val="000D19DF"/>
    <w:rsid w:val="000F2DBF"/>
    <w:rsid w:val="000F4688"/>
    <w:rsid w:val="000F770E"/>
    <w:rsid w:val="00160059"/>
    <w:rsid w:val="00164E8B"/>
    <w:rsid w:val="001717C8"/>
    <w:rsid w:val="00180094"/>
    <w:rsid w:val="00185552"/>
    <w:rsid w:val="001B6FE9"/>
    <w:rsid w:val="001D41F2"/>
    <w:rsid w:val="001E115F"/>
    <w:rsid w:val="001E48CC"/>
    <w:rsid w:val="00235EDD"/>
    <w:rsid w:val="00262AFA"/>
    <w:rsid w:val="0026620D"/>
    <w:rsid w:val="00283590"/>
    <w:rsid w:val="002974DC"/>
    <w:rsid w:val="002A5F8E"/>
    <w:rsid w:val="002B6B47"/>
    <w:rsid w:val="002C6669"/>
    <w:rsid w:val="002F4BC1"/>
    <w:rsid w:val="0031556B"/>
    <w:rsid w:val="00350C95"/>
    <w:rsid w:val="00361E91"/>
    <w:rsid w:val="00382A42"/>
    <w:rsid w:val="00383644"/>
    <w:rsid w:val="003B3659"/>
    <w:rsid w:val="003C2CD3"/>
    <w:rsid w:val="003C679A"/>
    <w:rsid w:val="003D5625"/>
    <w:rsid w:val="003E2277"/>
    <w:rsid w:val="003E67E2"/>
    <w:rsid w:val="003F0F0F"/>
    <w:rsid w:val="003F1934"/>
    <w:rsid w:val="003F4FFF"/>
    <w:rsid w:val="004005D4"/>
    <w:rsid w:val="0040320F"/>
    <w:rsid w:val="00407A78"/>
    <w:rsid w:val="00424470"/>
    <w:rsid w:val="00426A51"/>
    <w:rsid w:val="00430D09"/>
    <w:rsid w:val="004322DE"/>
    <w:rsid w:val="00446E43"/>
    <w:rsid w:val="00453F54"/>
    <w:rsid w:val="00487C05"/>
    <w:rsid w:val="00490A09"/>
    <w:rsid w:val="00496BD7"/>
    <w:rsid w:val="004A7AD6"/>
    <w:rsid w:val="004C1FD8"/>
    <w:rsid w:val="004C351E"/>
    <w:rsid w:val="004C417A"/>
    <w:rsid w:val="004D0EBD"/>
    <w:rsid w:val="00513A66"/>
    <w:rsid w:val="00524414"/>
    <w:rsid w:val="00530009"/>
    <w:rsid w:val="00532703"/>
    <w:rsid w:val="005372C7"/>
    <w:rsid w:val="00595839"/>
    <w:rsid w:val="00596D61"/>
    <w:rsid w:val="005B1450"/>
    <w:rsid w:val="005B6452"/>
    <w:rsid w:val="005C14E6"/>
    <w:rsid w:val="005C66AC"/>
    <w:rsid w:val="005C6B9C"/>
    <w:rsid w:val="005D78D5"/>
    <w:rsid w:val="005E3285"/>
    <w:rsid w:val="005E3F4C"/>
    <w:rsid w:val="00607597"/>
    <w:rsid w:val="00626AF1"/>
    <w:rsid w:val="0065111C"/>
    <w:rsid w:val="00666373"/>
    <w:rsid w:val="0067036C"/>
    <w:rsid w:val="0067672F"/>
    <w:rsid w:val="00680DD4"/>
    <w:rsid w:val="00690497"/>
    <w:rsid w:val="006A16F5"/>
    <w:rsid w:val="006C141F"/>
    <w:rsid w:val="006C4772"/>
    <w:rsid w:val="006F2E06"/>
    <w:rsid w:val="006F7ED2"/>
    <w:rsid w:val="0071666A"/>
    <w:rsid w:val="00724F4F"/>
    <w:rsid w:val="00725B3F"/>
    <w:rsid w:val="007408F1"/>
    <w:rsid w:val="00762076"/>
    <w:rsid w:val="00776EE5"/>
    <w:rsid w:val="00790593"/>
    <w:rsid w:val="007A1AEE"/>
    <w:rsid w:val="007C1C41"/>
    <w:rsid w:val="007C7E40"/>
    <w:rsid w:val="007F223A"/>
    <w:rsid w:val="007F350B"/>
    <w:rsid w:val="007F5A88"/>
    <w:rsid w:val="008143B0"/>
    <w:rsid w:val="00825B95"/>
    <w:rsid w:val="008269F8"/>
    <w:rsid w:val="0084422D"/>
    <w:rsid w:val="008517B2"/>
    <w:rsid w:val="008601C1"/>
    <w:rsid w:val="00886DB1"/>
    <w:rsid w:val="008A10CB"/>
    <w:rsid w:val="008D400E"/>
    <w:rsid w:val="009267C9"/>
    <w:rsid w:val="00931EB7"/>
    <w:rsid w:val="009642F0"/>
    <w:rsid w:val="00971B60"/>
    <w:rsid w:val="0099724C"/>
    <w:rsid w:val="009B4D1E"/>
    <w:rsid w:val="009C2891"/>
    <w:rsid w:val="009C2C96"/>
    <w:rsid w:val="009D1C57"/>
    <w:rsid w:val="009D2DEB"/>
    <w:rsid w:val="009F3AA4"/>
    <w:rsid w:val="00A04AD8"/>
    <w:rsid w:val="00A32ABB"/>
    <w:rsid w:val="00A37DC3"/>
    <w:rsid w:val="00A6044F"/>
    <w:rsid w:val="00A67014"/>
    <w:rsid w:val="00AB5260"/>
    <w:rsid w:val="00AB7555"/>
    <w:rsid w:val="00AB78B2"/>
    <w:rsid w:val="00AC7CB0"/>
    <w:rsid w:val="00AD3532"/>
    <w:rsid w:val="00B00CDF"/>
    <w:rsid w:val="00B51F06"/>
    <w:rsid w:val="00B57CB6"/>
    <w:rsid w:val="00B744F4"/>
    <w:rsid w:val="00BB1E30"/>
    <w:rsid w:val="00BC2233"/>
    <w:rsid w:val="00BC23E8"/>
    <w:rsid w:val="00BC4A55"/>
    <w:rsid w:val="00BF05D9"/>
    <w:rsid w:val="00BF14EB"/>
    <w:rsid w:val="00C00C95"/>
    <w:rsid w:val="00C26D8D"/>
    <w:rsid w:val="00C27788"/>
    <w:rsid w:val="00C46677"/>
    <w:rsid w:val="00C5002A"/>
    <w:rsid w:val="00C53B3A"/>
    <w:rsid w:val="00CA4E73"/>
    <w:rsid w:val="00CA6BAA"/>
    <w:rsid w:val="00CB243B"/>
    <w:rsid w:val="00CC055E"/>
    <w:rsid w:val="00CD2DB0"/>
    <w:rsid w:val="00CE28AF"/>
    <w:rsid w:val="00CF09AE"/>
    <w:rsid w:val="00CF5224"/>
    <w:rsid w:val="00D148B0"/>
    <w:rsid w:val="00D753CD"/>
    <w:rsid w:val="00D91369"/>
    <w:rsid w:val="00DC0889"/>
    <w:rsid w:val="00DC5F56"/>
    <w:rsid w:val="00DE2C1B"/>
    <w:rsid w:val="00DF1BEC"/>
    <w:rsid w:val="00DF6088"/>
    <w:rsid w:val="00E24F7B"/>
    <w:rsid w:val="00E31952"/>
    <w:rsid w:val="00E455E3"/>
    <w:rsid w:val="00E471A5"/>
    <w:rsid w:val="00E61257"/>
    <w:rsid w:val="00E70E56"/>
    <w:rsid w:val="00E85A71"/>
    <w:rsid w:val="00E9118B"/>
    <w:rsid w:val="00EA318F"/>
    <w:rsid w:val="00EB09BF"/>
    <w:rsid w:val="00EB6734"/>
    <w:rsid w:val="00ED1187"/>
    <w:rsid w:val="00EF67C4"/>
    <w:rsid w:val="00EF6836"/>
    <w:rsid w:val="00F07160"/>
    <w:rsid w:val="00F22301"/>
    <w:rsid w:val="00F345E6"/>
    <w:rsid w:val="00F351B5"/>
    <w:rsid w:val="00F37879"/>
    <w:rsid w:val="00F40B8B"/>
    <w:rsid w:val="00F738D3"/>
    <w:rsid w:val="00F82C60"/>
    <w:rsid w:val="00F85B23"/>
    <w:rsid w:val="00F937F1"/>
    <w:rsid w:val="00FB0456"/>
    <w:rsid w:val="00FC16CA"/>
    <w:rsid w:val="00FD14F7"/>
    <w:rsid w:val="00FD29DB"/>
    <w:rsid w:val="00FD71E4"/>
    <w:rsid w:val="00FE07FA"/>
    <w:rsid w:val="00FF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95FDD4"/>
  <w15:docId w15:val="{1C419E62-6935-4A44-8F2F-26AC5F84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EF6836"/>
    <w:rPr>
      <w:color w:val="0000FF" w:themeColor="hyperlink"/>
      <w:u w:val="single"/>
    </w:rPr>
  </w:style>
  <w:style w:type="character" w:styleId="UnresolvedMention">
    <w:name w:val="Unresolved Mention"/>
    <w:basedOn w:val="DefaultParagraphFont"/>
    <w:uiPriority w:val="99"/>
    <w:semiHidden/>
    <w:unhideWhenUsed/>
    <w:rsid w:val="00EF6836"/>
    <w:rPr>
      <w:color w:val="605E5C"/>
      <w:shd w:val="clear" w:color="auto" w:fill="E1DFDD"/>
    </w:rPr>
  </w:style>
  <w:style w:type="character" w:styleId="FollowedHyperlink">
    <w:name w:val="FollowedHyperlink"/>
    <w:basedOn w:val="DefaultParagraphFont"/>
    <w:uiPriority w:val="99"/>
    <w:semiHidden/>
    <w:unhideWhenUsed/>
    <w:rsid w:val="004C351E"/>
    <w:rPr>
      <w:color w:val="800080" w:themeColor="followedHyperlink"/>
      <w:u w:val="single"/>
    </w:rPr>
  </w:style>
  <w:style w:type="table" w:styleId="TableGrid">
    <w:name w:val="Table Grid"/>
    <w:basedOn w:val="TableNormal"/>
    <w:rsid w:val="00C46677"/>
    <w:pPr>
      <w:widowControl/>
      <w:autoSpaceDE/>
      <w:autoSpaceDN/>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6319">
      <w:bodyDiv w:val="1"/>
      <w:marLeft w:val="0"/>
      <w:marRight w:val="0"/>
      <w:marTop w:val="0"/>
      <w:marBottom w:val="0"/>
      <w:divBdr>
        <w:top w:val="none" w:sz="0" w:space="0" w:color="auto"/>
        <w:left w:val="none" w:sz="0" w:space="0" w:color="auto"/>
        <w:bottom w:val="none" w:sz="0" w:space="0" w:color="auto"/>
        <w:right w:val="none" w:sz="0" w:space="0" w:color="auto"/>
      </w:divBdr>
    </w:div>
    <w:div w:id="1593316269">
      <w:bodyDiv w:val="1"/>
      <w:marLeft w:val="0"/>
      <w:marRight w:val="0"/>
      <w:marTop w:val="0"/>
      <w:marBottom w:val="0"/>
      <w:divBdr>
        <w:top w:val="none" w:sz="0" w:space="0" w:color="auto"/>
        <w:left w:val="none" w:sz="0" w:space="0" w:color="auto"/>
        <w:bottom w:val="none" w:sz="0" w:space="0" w:color="auto"/>
        <w:right w:val="none" w:sz="0" w:space="0" w:color="auto"/>
      </w:divBdr>
    </w:div>
    <w:div w:id="189361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xploreashe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www.nasbaregistry.org" TargetMode="External"/><Relationship Id="rId4" Type="http://schemas.openxmlformats.org/officeDocument/2006/relationships/webSettings" Target="webSettings.xml"/><Relationship Id="rId9" Type="http://schemas.openxmlformats.org/officeDocument/2006/relationships/hyperlink" Target="http://www.choicehotels.com/reservations/groups/YW69F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Boyer</dc:creator>
  <cp:lastModifiedBy>Midkiff-Powell, Dolores (LARA)</cp:lastModifiedBy>
  <cp:revision>2</cp:revision>
  <dcterms:created xsi:type="dcterms:W3CDTF">2024-02-02T16:05:00Z</dcterms:created>
  <dcterms:modified xsi:type="dcterms:W3CDTF">2024-02-02T16:05:00Z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2010</vt:lpwstr>
  </property>
  <property fmtid="{D5CDD505-2E9C-101B-9397-08002B2CF9AE}" pid="4" name="LastSaved">
    <vt:filetime>2022-01-25T00:00:00Z</vt:filetime>
  </property>
  <property fmtid="{D5CDD505-2E9C-101B-9397-08002B2CF9AE}" pid="5" name="MSIP_Label_3a2fed65-62e7-46ea-af74-187e0c17143a_Enabled">
    <vt:lpwstr>true</vt:lpwstr>
  </property>
  <property fmtid="{D5CDD505-2E9C-101B-9397-08002B2CF9AE}" pid="6" name="MSIP_Label_3a2fed65-62e7-46ea-af74-187e0c17143a_SetDate">
    <vt:lpwstr>2024-02-02T15:48:57Z</vt:lpwstr>
  </property>
  <property fmtid="{D5CDD505-2E9C-101B-9397-08002B2CF9AE}" pid="7" name="MSIP_Label_3a2fed65-62e7-46ea-af74-187e0c17143a_Method">
    <vt:lpwstr>Privileged</vt:lpwstr>
  </property>
  <property fmtid="{D5CDD505-2E9C-101B-9397-08002B2CF9AE}" pid="8" name="MSIP_Label_3a2fed65-62e7-46ea-af74-187e0c17143a_Name">
    <vt:lpwstr>3a2fed65-62e7-46ea-af74-187e0c17143a</vt:lpwstr>
  </property>
  <property fmtid="{D5CDD505-2E9C-101B-9397-08002B2CF9AE}" pid="9" name="MSIP_Label_3a2fed65-62e7-46ea-af74-187e0c17143a_SiteId">
    <vt:lpwstr>d5fb7087-3777-42ad-966a-892ef47225d1</vt:lpwstr>
  </property>
  <property fmtid="{D5CDD505-2E9C-101B-9397-08002B2CF9AE}" pid="10" name="MSIP_Label_3a2fed65-62e7-46ea-af74-187e0c17143a_ActionId">
    <vt:lpwstr>c8cce292-093d-47a7-9aec-7f00d101e91b</vt:lpwstr>
  </property>
  <property fmtid="{D5CDD505-2E9C-101B-9397-08002B2CF9AE}" pid="11" name="MSIP_Label_3a2fed65-62e7-46ea-af74-187e0c17143a_ContentBits">
    <vt:lpwstr>0</vt:lpwstr>
  </property>
</Properties>
</file>